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景德镇市团市委</w:t>
      </w:r>
      <w:r>
        <w:rPr>
          <w:rFonts w:hint="eastAsia" w:ascii="黑体" w:eastAsia="黑体"/>
          <w:sz w:val="44"/>
          <w:szCs w:val="36"/>
        </w:rPr>
        <w:t>2017年度部门决算</w:t>
      </w:r>
    </w:p>
    <w:p>
      <w:pPr>
        <w:spacing w:line="600" w:lineRule="exact"/>
        <w:jc w:val="center"/>
        <w:rPr>
          <w:rFonts w:hint="eastAsia" w:ascii="黑体" w:eastAsia="黑体"/>
          <w:sz w:val="44"/>
          <w:szCs w:val="36"/>
        </w:rPr>
      </w:pPr>
    </w:p>
    <w:p>
      <w:pPr>
        <w:widowControl/>
        <w:spacing w:line="580" w:lineRule="exact"/>
        <w:jc w:val="center"/>
        <w:rPr>
          <w:rFonts w:hint="eastAsia" w:ascii="宋体" w:hAnsi="宋体"/>
          <w:b/>
          <w:sz w:val="32"/>
          <w:szCs w:val="30"/>
        </w:rPr>
      </w:pPr>
    </w:p>
    <w:p>
      <w:pPr>
        <w:widowControl/>
        <w:spacing w:line="580" w:lineRule="exact"/>
        <w:jc w:val="both"/>
        <w:rPr>
          <w:rFonts w:hint="eastAsia" w:ascii="宋体" w:hAnsi="宋体"/>
          <w:b/>
          <w:sz w:val="32"/>
          <w:szCs w:val="30"/>
        </w:rPr>
      </w:pPr>
    </w:p>
    <w:p>
      <w:pPr>
        <w:widowControl/>
        <w:spacing w:line="580" w:lineRule="exact"/>
        <w:jc w:val="both"/>
        <w:rPr>
          <w:rFonts w:hint="eastAsia" w:ascii="宋体" w:hAnsi="宋体"/>
          <w:b/>
          <w:sz w:val="32"/>
          <w:szCs w:val="30"/>
        </w:rPr>
      </w:pPr>
      <w:r>
        <w:rPr>
          <w:rFonts w:hint="eastAsia" w:ascii="宋体" w:hAnsi="宋体"/>
          <w:b/>
          <w:sz w:val="32"/>
          <w:szCs w:val="30"/>
          <w:lang w:val="en-US" w:eastAsia="zh-CN"/>
        </w:rPr>
        <w:t xml:space="preserve">            </w:t>
      </w:r>
      <w:r>
        <w:rPr>
          <w:rFonts w:hint="eastAsia" w:ascii="宋体" w:hAnsi="宋体"/>
          <w:b/>
          <w:sz w:val="32"/>
          <w:szCs w:val="30"/>
        </w:rPr>
        <w:t xml:space="preserve">第一部分  </w:t>
      </w:r>
      <w:r>
        <w:rPr>
          <w:rFonts w:hint="eastAsia" w:ascii="宋体" w:hAnsi="宋体"/>
          <w:b/>
          <w:sz w:val="32"/>
          <w:szCs w:val="30"/>
          <w:lang w:eastAsia="zh-CN"/>
        </w:rPr>
        <w:t>景德镇市</w:t>
      </w:r>
      <w:r>
        <w:rPr>
          <w:rFonts w:hint="eastAsia" w:ascii="宋体" w:hAnsi="宋体"/>
          <w:b/>
          <w:sz w:val="32"/>
          <w:szCs w:val="32"/>
          <w:lang w:eastAsia="zh-CN"/>
        </w:rPr>
        <w:t>团市委部门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widowControl/>
        <w:ind w:left="239" w:leftChars="114" w:firstLine="640" w:firstLineChars="200"/>
        <w:jc w:val="left"/>
        <w:rPr>
          <w:rFonts w:hint="eastAsia" w:ascii="宋体" w:hAnsi="宋体"/>
          <w:sz w:val="32"/>
          <w:szCs w:val="32"/>
        </w:rPr>
      </w:pPr>
      <w:r>
        <w:rPr>
          <w:rFonts w:ascii="宋体" w:hAnsi="宋体" w:cs="宋体"/>
          <w:kern w:val="0"/>
          <w:sz w:val="32"/>
          <w:szCs w:val="32"/>
          <w:lang w:bidi="ar"/>
        </w:rPr>
        <w:t>（一）领导全市共青团、青联、学联和少先队工作，对全市青少年社团组织进行指导和管理。</w:t>
      </w:r>
      <w:r>
        <w:rPr>
          <w:rFonts w:ascii="宋体" w:hAnsi="宋体" w:cs="宋体"/>
          <w:kern w:val="0"/>
          <w:sz w:val="32"/>
          <w:szCs w:val="32"/>
          <w:lang w:bidi="ar"/>
        </w:rPr>
        <w:br w:type="textWrapping"/>
      </w:r>
      <w:r>
        <w:rPr>
          <w:rFonts w:ascii="宋体" w:hAnsi="宋体" w:cs="宋体"/>
          <w:kern w:val="0"/>
          <w:sz w:val="32"/>
          <w:szCs w:val="32"/>
          <w:lang w:bidi="ar"/>
        </w:rPr>
        <w:t>　　（二）贯彻执行党的基本路线、方针和政策，组织实施市委、市政府和团省委部署的各项任务。</w:t>
      </w:r>
      <w:r>
        <w:rPr>
          <w:rFonts w:ascii="宋体" w:hAnsi="宋体" w:cs="宋体"/>
          <w:kern w:val="0"/>
          <w:sz w:val="32"/>
          <w:szCs w:val="32"/>
          <w:lang w:bidi="ar"/>
        </w:rPr>
        <w:br w:type="textWrapping"/>
      </w:r>
      <w:r>
        <w:rPr>
          <w:rFonts w:ascii="宋体" w:hAnsi="宋体" w:cs="宋体"/>
          <w:kern w:val="0"/>
          <w:sz w:val="32"/>
          <w:szCs w:val="32"/>
          <w:lang w:bidi="ar"/>
        </w:rPr>
        <w:t>　　（三）组织和带领广大团员青年积极投身改革开放和现代化建设，为景德镇经济和社会发展服务。</w:t>
      </w:r>
      <w:r>
        <w:rPr>
          <w:rFonts w:ascii="宋体" w:hAnsi="宋体" w:cs="宋体"/>
          <w:kern w:val="0"/>
          <w:sz w:val="32"/>
          <w:szCs w:val="32"/>
          <w:lang w:bidi="ar"/>
        </w:rPr>
        <w:br w:type="textWrapping"/>
      </w:r>
      <w:r>
        <w:rPr>
          <w:rFonts w:ascii="宋体" w:hAnsi="宋体" w:cs="宋体"/>
          <w:kern w:val="0"/>
          <w:sz w:val="32"/>
          <w:szCs w:val="32"/>
          <w:lang w:bidi="ar"/>
        </w:rPr>
        <w:t>　　（四）负责全市团组织建设，加强对全市团员队伍、团干部队伍建设和基层团组织建设的领导；向党组织推荐输送优秀青年干部和优秀团员。</w:t>
      </w:r>
      <w:r>
        <w:rPr>
          <w:rFonts w:ascii="宋体" w:hAnsi="宋体" w:cs="宋体"/>
          <w:kern w:val="0"/>
          <w:sz w:val="32"/>
          <w:szCs w:val="32"/>
          <w:lang w:bidi="ar"/>
        </w:rPr>
        <w:br w:type="textWrapping"/>
      </w:r>
      <w:r>
        <w:rPr>
          <w:rFonts w:ascii="宋体" w:hAnsi="宋体" w:cs="宋体"/>
          <w:kern w:val="0"/>
          <w:sz w:val="32"/>
          <w:szCs w:val="32"/>
          <w:lang w:bidi="ar"/>
        </w:rPr>
        <w:t>　　（五）调查青少年思想动态和青少年工作情况，研究青少年工作理论和思想教育，为市委、市政府决策青少年事务提供参考和依据。</w:t>
      </w:r>
      <w:r>
        <w:rPr>
          <w:rFonts w:ascii="宋体" w:hAnsi="宋体" w:cs="宋体"/>
          <w:kern w:val="0"/>
          <w:sz w:val="32"/>
          <w:szCs w:val="32"/>
          <w:lang w:bidi="ar"/>
        </w:rPr>
        <w:br w:type="textWrapping"/>
      </w:r>
      <w:r>
        <w:rPr>
          <w:rFonts w:ascii="宋体" w:hAnsi="宋体" w:cs="宋体"/>
          <w:kern w:val="0"/>
          <w:sz w:val="32"/>
          <w:szCs w:val="32"/>
          <w:lang w:bidi="ar"/>
        </w:rPr>
        <w:t>　　（六）关心青少年利益，保护青少年的合法权益，协助有关部门处理、协调与青少年利益相关的事务。</w:t>
      </w:r>
      <w:r>
        <w:rPr>
          <w:rFonts w:ascii="宋体" w:hAnsi="宋体" w:cs="宋体"/>
          <w:kern w:val="0"/>
          <w:sz w:val="32"/>
          <w:szCs w:val="32"/>
          <w:lang w:bidi="ar"/>
        </w:rPr>
        <w:br w:type="textWrapping"/>
      </w:r>
      <w:r>
        <w:rPr>
          <w:rFonts w:ascii="宋体" w:hAnsi="宋体" w:cs="宋体"/>
          <w:kern w:val="0"/>
          <w:sz w:val="32"/>
          <w:szCs w:val="32"/>
          <w:lang w:bidi="ar"/>
        </w:rPr>
        <w:t>　　（七）开展青年志愿者、希望工程、青年文明号创建等品牌活动，促进社会文明进步。</w:t>
      </w:r>
      <w:r>
        <w:rPr>
          <w:rFonts w:ascii="宋体" w:hAnsi="宋体" w:cs="宋体"/>
          <w:kern w:val="0"/>
          <w:sz w:val="32"/>
          <w:szCs w:val="32"/>
          <w:lang w:bidi="ar"/>
        </w:rPr>
        <w:br w:type="textWrapping"/>
      </w:r>
      <w:r>
        <w:rPr>
          <w:rFonts w:ascii="宋体" w:hAnsi="宋体" w:cs="宋体"/>
          <w:kern w:val="0"/>
          <w:sz w:val="32"/>
          <w:szCs w:val="32"/>
          <w:lang w:bidi="ar"/>
        </w:rPr>
        <w:t>　　（八）完成市委、市政府和团省委交办的其他工作。</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r>
        <w:rPr>
          <w:rFonts w:hint="eastAsia" w:ascii="宋体" w:hAnsi="宋体" w:cs="宋体"/>
          <w:kern w:val="0"/>
          <w:sz w:val="32"/>
          <w:szCs w:val="32"/>
          <w:lang w:val="en-US" w:eastAsia="zh-CN" w:bidi="ar"/>
        </w:rPr>
        <w:t xml:space="preserve">    </w:t>
      </w:r>
      <w:r>
        <w:rPr>
          <w:rFonts w:ascii="宋体" w:hAnsi="宋体" w:cs="宋体"/>
          <w:kern w:val="0"/>
          <w:sz w:val="32"/>
          <w:szCs w:val="32"/>
          <w:lang w:bidi="ar"/>
        </w:rPr>
        <w:t>本部门共有预算单位2个，即部门本级和1个二级单位。人员编制总数为39个，其中行政编制12个、全部补助事业编制27个。实有人数4</w:t>
      </w:r>
      <w:r>
        <w:rPr>
          <w:rFonts w:hint="eastAsia" w:ascii="宋体" w:hAnsi="宋体" w:cs="宋体"/>
          <w:kern w:val="0"/>
          <w:sz w:val="32"/>
          <w:szCs w:val="32"/>
          <w:lang w:val="en-US" w:eastAsia="zh-CN" w:bidi="ar"/>
        </w:rPr>
        <w:t>3</w:t>
      </w:r>
      <w:r>
        <w:rPr>
          <w:rFonts w:ascii="宋体" w:hAnsi="宋体" w:cs="宋体"/>
          <w:kern w:val="0"/>
          <w:sz w:val="32"/>
          <w:szCs w:val="32"/>
          <w:lang w:bidi="ar"/>
        </w:rPr>
        <w:t>人，其中在职3</w:t>
      </w:r>
      <w:r>
        <w:rPr>
          <w:rFonts w:hint="eastAsia" w:ascii="宋体" w:hAnsi="宋体" w:cs="宋体"/>
          <w:kern w:val="0"/>
          <w:sz w:val="32"/>
          <w:szCs w:val="32"/>
          <w:lang w:val="en-US" w:eastAsia="zh-CN" w:bidi="ar"/>
        </w:rPr>
        <w:t>3</w:t>
      </w:r>
      <w:r>
        <w:rPr>
          <w:rFonts w:ascii="宋体" w:hAnsi="宋体" w:cs="宋体"/>
          <w:kern w:val="0"/>
          <w:sz w:val="32"/>
          <w:szCs w:val="32"/>
          <w:lang w:bidi="ar"/>
        </w:rPr>
        <w:t>人，包括行政1</w:t>
      </w:r>
      <w:r>
        <w:rPr>
          <w:rFonts w:hint="eastAsia" w:ascii="宋体" w:hAnsi="宋体" w:cs="宋体"/>
          <w:kern w:val="0"/>
          <w:sz w:val="32"/>
          <w:szCs w:val="32"/>
          <w:lang w:val="en-US" w:eastAsia="zh-CN" w:bidi="ar"/>
        </w:rPr>
        <w:t>2</w:t>
      </w:r>
      <w:r>
        <w:rPr>
          <w:rFonts w:ascii="宋体" w:hAnsi="宋体" w:cs="宋体"/>
          <w:kern w:val="0"/>
          <w:sz w:val="32"/>
          <w:szCs w:val="32"/>
          <w:lang w:bidi="ar"/>
        </w:rPr>
        <w:t>人、全部补助2</w:t>
      </w:r>
      <w:r>
        <w:rPr>
          <w:rFonts w:hint="eastAsia" w:ascii="宋体" w:hAnsi="宋体" w:cs="宋体"/>
          <w:kern w:val="0"/>
          <w:sz w:val="32"/>
          <w:szCs w:val="32"/>
          <w:lang w:val="en-US" w:eastAsia="zh-CN" w:bidi="ar"/>
        </w:rPr>
        <w:t>1</w:t>
      </w:r>
      <w:r>
        <w:rPr>
          <w:rFonts w:ascii="宋体" w:hAnsi="宋体" w:cs="宋体"/>
          <w:kern w:val="0"/>
          <w:sz w:val="32"/>
          <w:szCs w:val="32"/>
          <w:lang w:bidi="ar"/>
        </w:rPr>
        <w:t>人；退休</w:t>
      </w:r>
      <w:r>
        <w:rPr>
          <w:rFonts w:hint="eastAsia" w:ascii="宋体" w:hAnsi="宋体" w:cs="宋体"/>
          <w:kern w:val="0"/>
          <w:sz w:val="32"/>
          <w:szCs w:val="32"/>
          <w:lang w:val="en-US" w:eastAsia="zh-CN" w:bidi="ar"/>
        </w:rPr>
        <w:t>10</w:t>
      </w:r>
      <w:r>
        <w:rPr>
          <w:rFonts w:ascii="宋体" w:hAnsi="宋体" w:cs="宋体"/>
          <w:kern w:val="0"/>
          <w:sz w:val="32"/>
          <w:szCs w:val="32"/>
          <w:lang w:bidi="ar"/>
        </w:rPr>
        <w:t>人。</w:t>
      </w:r>
      <w:r>
        <w:rPr>
          <w:rFonts w:ascii="宋体" w:hAnsi="宋体" w:cs="宋体"/>
          <w:kern w:val="0"/>
          <w:sz w:val="32"/>
          <w:szCs w:val="32"/>
          <w:lang w:bidi="ar"/>
        </w:rPr>
        <w:br w:type="textWrapping"/>
      </w:r>
      <w:r>
        <w:rPr>
          <w:rFonts w:hint="eastAsia" w:ascii="宋体" w:hAnsi="宋体" w:cs="宋体"/>
          <w:kern w:val="0"/>
          <w:sz w:val="32"/>
          <w:szCs w:val="32"/>
          <w:lang w:val="en-US" w:eastAsia="zh-CN" w:bidi="ar"/>
        </w:rPr>
        <w:t xml:space="preserve">    </w:t>
      </w:r>
      <w:r>
        <w:rPr>
          <w:rFonts w:ascii="宋体" w:hAnsi="宋体" w:cs="宋体"/>
          <w:kern w:val="0"/>
          <w:sz w:val="32"/>
          <w:szCs w:val="32"/>
          <w:lang w:bidi="ar"/>
        </w:rPr>
        <w:t>201</w:t>
      </w:r>
      <w:r>
        <w:rPr>
          <w:rFonts w:hint="eastAsia" w:ascii="宋体" w:hAnsi="宋体" w:cs="宋体"/>
          <w:kern w:val="0"/>
          <w:sz w:val="32"/>
          <w:szCs w:val="32"/>
          <w:lang w:val="en-US" w:eastAsia="zh-CN" w:bidi="ar"/>
        </w:rPr>
        <w:t>7</w:t>
      </w:r>
      <w:r>
        <w:rPr>
          <w:rFonts w:ascii="宋体" w:hAnsi="宋体" w:cs="宋体"/>
          <w:kern w:val="0"/>
          <w:sz w:val="32"/>
          <w:szCs w:val="32"/>
          <w:lang w:bidi="ar"/>
        </w:rPr>
        <w:t>年度，纳入本部门决算汇编范围的独立核算单位共2个，包括：共青团景德镇市委员会和景德镇市青少年宫</w:t>
      </w:r>
      <w:r>
        <w:rPr>
          <w:rFonts w:hint="eastAsia" w:ascii="宋体" w:hAnsi="宋体" w:cs="宋体"/>
          <w:kern w:val="0"/>
          <w:sz w:val="32"/>
          <w:szCs w:val="32"/>
          <w:lang w:eastAsia="zh-CN" w:bidi="ar"/>
        </w:rPr>
        <w:t>。</w:t>
      </w:r>
    </w:p>
    <w:p/>
    <w:p/>
    <w:p/>
    <w:p>
      <w:r>
        <w:drawing>
          <wp:inline distT="0" distB="0" distL="114300" distR="114300">
            <wp:extent cx="5267325" cy="454469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7325" cy="4544695"/>
                    </a:xfrm>
                    <a:prstGeom prst="rect">
                      <a:avLst/>
                    </a:prstGeom>
                    <a:noFill/>
                    <a:ln w="9525">
                      <a:noFill/>
                    </a:ln>
                  </pic:spPr>
                </pic:pic>
              </a:graphicData>
            </a:graphic>
          </wp:inline>
        </w:drawing>
      </w:r>
    </w:p>
    <w:p/>
    <w:p/>
    <w:p/>
    <w:p/>
    <w:p/>
    <w:p/>
    <w:p/>
    <w:p/>
    <w:p/>
    <w:p/>
    <w:p/>
    <w:p/>
    <w:p/>
    <w:p/>
    <w:p/>
    <w:p/>
    <w:p/>
    <w:p/>
    <w:p/>
    <w:p/>
    <w:p/>
    <w:p/>
    <w:p>
      <w:r>
        <w:drawing>
          <wp:inline distT="0" distB="0" distL="114300" distR="114300">
            <wp:extent cx="5672455" cy="2945765"/>
            <wp:effectExtent l="0" t="0" r="444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672455" cy="2945765"/>
                    </a:xfrm>
                    <a:prstGeom prst="rect">
                      <a:avLst/>
                    </a:prstGeom>
                    <a:noFill/>
                    <a:ln w="9525">
                      <a:noFill/>
                    </a:ln>
                  </pic:spPr>
                </pic:pic>
              </a:graphicData>
            </a:graphic>
          </wp:inline>
        </w:drawing>
      </w:r>
    </w:p>
    <w:p/>
    <w:p/>
    <w:p/>
    <w:p>
      <w:r>
        <w:drawing>
          <wp:inline distT="0" distB="0" distL="114300" distR="114300">
            <wp:extent cx="5270500" cy="2488565"/>
            <wp:effectExtent l="0" t="0" r="635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0500" cy="2488565"/>
                    </a:xfrm>
                    <a:prstGeom prst="rect">
                      <a:avLst/>
                    </a:prstGeom>
                    <a:noFill/>
                    <a:ln w="9525">
                      <a:noFill/>
                    </a:ln>
                  </pic:spPr>
                </pic:pic>
              </a:graphicData>
            </a:graphic>
          </wp:inline>
        </w:drawing>
      </w:r>
    </w:p>
    <w:p/>
    <w:p>
      <w:r>
        <w:drawing>
          <wp:inline distT="0" distB="0" distL="114300" distR="114300">
            <wp:extent cx="5269230" cy="38785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69230" cy="3878580"/>
                    </a:xfrm>
                    <a:prstGeom prst="rect">
                      <a:avLst/>
                    </a:prstGeom>
                    <a:noFill/>
                    <a:ln w="9525">
                      <a:noFill/>
                    </a:ln>
                  </pic:spPr>
                </pic:pic>
              </a:graphicData>
            </a:graphic>
          </wp:inline>
        </w:drawing>
      </w:r>
    </w:p>
    <w:p/>
    <w:p>
      <w:r>
        <w:drawing>
          <wp:inline distT="0" distB="0" distL="114300" distR="114300">
            <wp:extent cx="5273040" cy="4022725"/>
            <wp:effectExtent l="0" t="0" r="381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3040" cy="4022725"/>
                    </a:xfrm>
                    <a:prstGeom prst="rect">
                      <a:avLst/>
                    </a:prstGeom>
                    <a:noFill/>
                    <a:ln w="9525">
                      <a:noFill/>
                    </a:ln>
                  </pic:spPr>
                </pic:pic>
              </a:graphicData>
            </a:graphic>
          </wp:inline>
        </w:drawing>
      </w:r>
    </w:p>
    <w:p/>
    <w:p/>
    <w:p>
      <w:r>
        <w:drawing>
          <wp:inline distT="0" distB="0" distL="114300" distR="114300">
            <wp:extent cx="5267960" cy="5883275"/>
            <wp:effectExtent l="0" t="0" r="889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67960" cy="5883275"/>
                    </a:xfrm>
                    <a:prstGeom prst="rect">
                      <a:avLst/>
                    </a:prstGeom>
                    <a:noFill/>
                    <a:ln w="9525">
                      <a:noFill/>
                    </a:ln>
                  </pic:spPr>
                </pic:pic>
              </a:graphicData>
            </a:graphic>
          </wp:inline>
        </w:drawing>
      </w:r>
    </w:p>
    <w:p/>
    <w:p>
      <w:r>
        <w:drawing>
          <wp:inline distT="0" distB="0" distL="114300" distR="114300">
            <wp:extent cx="5271135" cy="4909185"/>
            <wp:effectExtent l="0" t="0" r="571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71135" cy="4909185"/>
                    </a:xfrm>
                    <a:prstGeom prst="rect">
                      <a:avLst/>
                    </a:prstGeom>
                    <a:noFill/>
                    <a:ln w="9525">
                      <a:noFill/>
                    </a:ln>
                  </pic:spPr>
                </pic:pic>
              </a:graphicData>
            </a:graphic>
          </wp:inline>
        </w:drawing>
      </w:r>
    </w:p>
    <w:p>
      <w:r>
        <w:drawing>
          <wp:inline distT="0" distB="0" distL="114300" distR="114300">
            <wp:extent cx="5270500" cy="1600835"/>
            <wp:effectExtent l="0" t="0" r="6350"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70500" cy="1600835"/>
                    </a:xfrm>
                    <a:prstGeom prst="rect">
                      <a:avLst/>
                    </a:prstGeom>
                    <a:noFill/>
                    <a:ln w="9525">
                      <a:noFill/>
                    </a:ln>
                  </pic:spPr>
                </pic:pic>
              </a:graphicData>
            </a:graphic>
          </wp:inline>
        </w:drawing>
      </w:r>
    </w:p>
    <w:p>
      <w:r>
        <w:drawing>
          <wp:inline distT="0" distB="0" distL="114300" distR="114300">
            <wp:extent cx="5269230" cy="2311400"/>
            <wp:effectExtent l="0" t="0" r="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69230" cy="2311400"/>
                    </a:xfrm>
                    <a:prstGeom prst="rect">
                      <a:avLst/>
                    </a:prstGeom>
                    <a:noFill/>
                    <a:ln w="9525">
                      <a:noFill/>
                    </a:ln>
                  </pic:spPr>
                </pic:pic>
              </a:graphicData>
            </a:graphic>
          </wp:inline>
        </w:drawing>
      </w:r>
    </w:p>
    <w:p/>
    <w:p/>
    <w:p/>
    <w:p/>
    <w:p/>
    <w:p/>
    <w:p/>
    <w:p/>
    <w:p/>
    <w:p/>
    <w:p/>
    <w:p/>
    <w:p/>
    <w:p/>
    <w:p/>
    <w:p/>
    <w:p/>
    <w:p/>
    <w:p/>
    <w:p/>
    <w:p/>
    <w:p/>
    <w:p/>
    <w:p/>
    <w:p/>
    <w:p/>
    <w:p/>
    <w:p/>
    <w:p/>
    <w:p/>
    <w:p/>
    <w:p/>
    <w:p/>
    <w:p>
      <w:pPr>
        <w:numPr>
          <w:ilvl w:val="0"/>
          <w:numId w:val="0"/>
        </w:numPr>
        <w:autoSpaceDE/>
        <w:autoSpaceDN/>
        <w:spacing w:before="0" w:after="0" w:line="560" w:lineRule="exact"/>
        <w:ind w:right="0" w:firstLine="640"/>
        <w:jc w:val="center"/>
        <w:rPr>
          <w:rFonts w:hint="default" w:ascii="黑体" w:hAnsi="黑体" w:eastAsia="黑体"/>
          <w:color w:val="auto"/>
          <w:position w:val="0"/>
          <w:sz w:val="32"/>
          <w:szCs w:val="32"/>
        </w:rPr>
      </w:pPr>
      <w:r>
        <w:rPr>
          <w:rFonts w:hint="default" w:ascii="黑体" w:hAnsi="黑体" w:eastAsia="黑体"/>
          <w:color w:val="auto"/>
          <w:position w:val="0"/>
          <w:sz w:val="32"/>
          <w:szCs w:val="32"/>
        </w:rPr>
        <w:t>第三部分  2017年度部门决算情况说明</w:t>
      </w:r>
    </w:p>
    <w:p>
      <w:pPr>
        <w:numPr>
          <w:ilvl w:val="0"/>
          <w:numId w:val="0"/>
        </w:numPr>
        <w:autoSpaceDE/>
        <w:autoSpaceDN/>
        <w:spacing w:before="0" w:after="0" w:line="240" w:lineRule="exact"/>
        <w:ind w:right="0" w:firstLine="0"/>
        <w:jc w:val="center"/>
        <w:rPr>
          <w:rFonts w:hint="default" w:ascii="黑体" w:hAnsi="黑体" w:eastAsia="黑体"/>
          <w:b/>
          <w:color w:val="auto"/>
          <w:position w:val="0"/>
          <w:sz w:val="32"/>
          <w:szCs w:val="32"/>
        </w:rPr>
      </w:pPr>
    </w:p>
    <w:p>
      <w:pPr>
        <w:numPr>
          <w:ilvl w:val="0"/>
          <w:numId w:val="0"/>
        </w:numPr>
        <w:autoSpaceDE/>
        <w:autoSpaceDN/>
        <w:spacing w:before="0" w:after="0" w:line="600" w:lineRule="exact"/>
        <w:ind w:right="0" w:firstLine="640"/>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一、收入决算情况说明</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本部门2017年度收入总计  499.52  万元，其中年初结转和结余 48.5 万元，较2016年减少115.08 万元，下降 18.7 %；本年收入合计 451.02 万元，较2016年增加80.52  万元，增长21.7  %，主要原因是</w:t>
      </w:r>
      <w:r>
        <w:rPr>
          <w:rFonts w:hint="eastAsia" w:ascii="仿宋_GB2312" w:hAnsi="仿宋_GB2312" w:eastAsia="仿宋_GB2312"/>
          <w:color w:val="auto"/>
          <w:position w:val="0"/>
          <w:sz w:val="32"/>
          <w:szCs w:val="32"/>
          <w:lang w:eastAsia="zh-CN"/>
        </w:rPr>
        <w:t>项目资金增加</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本年收入的具体构成为：财政拨款收入451.02  万元，占</w:t>
      </w:r>
      <w:r>
        <w:rPr>
          <w:rFonts w:hint="eastAsia" w:ascii="仿宋_GB2312" w:hAnsi="仿宋_GB2312" w:eastAsia="仿宋_GB2312"/>
          <w:color w:val="auto"/>
          <w:position w:val="0"/>
          <w:sz w:val="32"/>
          <w:szCs w:val="32"/>
          <w:lang w:val="en-US" w:eastAsia="zh-CN"/>
        </w:rPr>
        <w:t>90</w:t>
      </w:r>
      <w:r>
        <w:rPr>
          <w:rFonts w:hint="default" w:ascii="仿宋_GB2312" w:hAnsi="仿宋_GB2312" w:eastAsia="仿宋_GB2312"/>
          <w:color w:val="auto"/>
          <w:position w:val="0"/>
          <w:sz w:val="32"/>
          <w:szCs w:val="32"/>
        </w:rPr>
        <w:t xml:space="preserve"> %；事业收入</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万元，占</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%；经营收入</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万元，占</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%；其他收入</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万元，占</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w:t>
      </w:r>
      <w:r>
        <w:rPr>
          <w:rFonts w:hint="eastAsia" w:ascii="仿宋_GB2312" w:hAnsi="仿宋_GB2312" w:eastAsia="仿宋_GB2312"/>
          <w:color w:val="auto"/>
          <w:position w:val="0"/>
          <w:sz w:val="32"/>
          <w:szCs w:val="32"/>
          <w:lang w:eastAsia="zh-CN"/>
        </w:rPr>
        <w:t>，年初结算和结余</w:t>
      </w:r>
      <w:r>
        <w:rPr>
          <w:rFonts w:hint="eastAsia" w:ascii="仿宋_GB2312" w:hAnsi="仿宋_GB2312" w:eastAsia="仿宋_GB2312"/>
          <w:color w:val="auto"/>
          <w:position w:val="0"/>
          <w:sz w:val="32"/>
          <w:szCs w:val="32"/>
          <w:lang w:val="en-US" w:eastAsia="zh-CN"/>
        </w:rPr>
        <w:t>48.50万元，占10%</w:t>
      </w:r>
      <w:r>
        <w:rPr>
          <w:rFonts w:hint="default" w:ascii="仿宋_GB2312" w:hAnsi="仿宋_GB2312" w:eastAsia="仿宋_GB2312"/>
          <w:color w:val="auto"/>
          <w:position w:val="0"/>
          <w:sz w:val="32"/>
          <w:szCs w:val="32"/>
        </w:rPr>
        <w:t xml:space="preserve">。  </w:t>
      </w:r>
    </w:p>
    <w:p>
      <w:pPr>
        <w:numPr>
          <w:ilvl w:val="0"/>
          <w:numId w:val="0"/>
        </w:numPr>
        <w:autoSpaceDE/>
        <w:autoSpaceDN/>
        <w:spacing w:before="0" w:after="0" w:line="240" w:lineRule="auto"/>
        <w:ind w:right="0" w:firstLine="63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二、支出决算情况说明</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本部门2017年度支出总计  499.52  万元，其中本年支出合计  464.82 万元，较2016年减少101.28  万元，下降17.9 %，主要原因是</w:t>
      </w:r>
      <w:r>
        <w:rPr>
          <w:rFonts w:hint="eastAsia" w:ascii="仿宋_GB2312" w:hAnsi="仿宋_GB2312" w:eastAsia="仿宋_GB2312"/>
          <w:color w:val="auto"/>
          <w:position w:val="0"/>
          <w:sz w:val="32"/>
          <w:szCs w:val="32"/>
          <w:lang w:eastAsia="zh-CN"/>
        </w:rPr>
        <w:t>节减商品服务支出；</w:t>
      </w:r>
      <w:r>
        <w:rPr>
          <w:rFonts w:hint="default" w:ascii="仿宋_GB2312" w:hAnsi="仿宋_GB2312" w:eastAsia="仿宋_GB2312"/>
          <w:color w:val="auto"/>
          <w:position w:val="0"/>
          <w:sz w:val="32"/>
          <w:szCs w:val="32"/>
        </w:rPr>
        <w:t>青少年宫16年项目支出已经完成，17年没有项目支出；年末结转和结余 34.7  万元，较2016年（减少）  13.8万元，下降28.45 %，主要原因是：青少年宫16年项目支出已经完成，项目资金没结余。</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本年支出的具体构成为：基本支出  379.6 万元，占 81.66 %；项目支出85.23   万元，占  18.3</w:t>
      </w:r>
      <w:r>
        <w:rPr>
          <w:rFonts w:hint="eastAsia" w:ascii="仿宋_GB2312" w:hAnsi="仿宋_GB2312" w:eastAsia="仿宋_GB2312"/>
          <w:color w:val="auto"/>
          <w:position w:val="0"/>
          <w:sz w:val="32"/>
          <w:szCs w:val="32"/>
          <w:lang w:val="en-US" w:eastAsia="zh-CN"/>
        </w:rPr>
        <w:t>4</w:t>
      </w:r>
      <w:r>
        <w:rPr>
          <w:rFonts w:hint="default" w:ascii="仿宋_GB2312" w:hAnsi="仿宋_GB2312" w:eastAsia="仿宋_GB2312"/>
          <w:color w:val="auto"/>
          <w:position w:val="0"/>
          <w:sz w:val="32"/>
          <w:szCs w:val="32"/>
        </w:rPr>
        <w:t xml:space="preserve"> %；经营支出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 xml:space="preserve"> 万元，占</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%；其他支出（对附属单位补助支出、上缴上级支出）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万元，占</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w:t>
      </w:r>
    </w:p>
    <w:p>
      <w:pPr>
        <w:numPr>
          <w:ilvl w:val="0"/>
          <w:numId w:val="0"/>
        </w:numPr>
        <w:autoSpaceDE/>
        <w:autoSpaceDN/>
        <w:spacing w:before="0" w:after="0" w:line="240" w:lineRule="auto"/>
        <w:ind w:right="0" w:firstLine="63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三、财政拨款支出决算情况说明</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本部门2017年度财政拨款本年支出年初预算数为</w:t>
      </w:r>
      <w:r>
        <w:rPr>
          <w:rFonts w:hint="eastAsia" w:ascii="仿宋_GB2312" w:hAnsi="仿宋_GB2312" w:eastAsia="仿宋_GB2312"/>
          <w:color w:val="auto"/>
          <w:position w:val="0"/>
          <w:sz w:val="32"/>
          <w:szCs w:val="32"/>
          <w:lang w:val="en-US" w:eastAsia="zh-CN"/>
        </w:rPr>
        <w:t>477.29</w:t>
      </w:r>
      <w:r>
        <w:rPr>
          <w:rFonts w:hint="default" w:ascii="仿宋_GB2312" w:hAnsi="仿宋_GB2312" w:eastAsia="仿宋_GB2312"/>
          <w:color w:val="auto"/>
          <w:position w:val="0"/>
          <w:sz w:val="32"/>
          <w:szCs w:val="32"/>
        </w:rPr>
        <w:t>万元，决算数为 464.82 万元，完成年初预算的</w:t>
      </w:r>
      <w:r>
        <w:rPr>
          <w:rFonts w:hint="eastAsia" w:ascii="仿宋_GB2312" w:hAnsi="仿宋_GB2312" w:eastAsia="仿宋_GB2312"/>
          <w:color w:val="auto"/>
          <w:position w:val="0"/>
          <w:sz w:val="32"/>
          <w:szCs w:val="32"/>
          <w:lang w:val="en-US" w:eastAsia="zh-CN"/>
        </w:rPr>
        <w:t>97</w:t>
      </w:r>
      <w:r>
        <w:rPr>
          <w:rFonts w:hint="default" w:ascii="仿宋_GB2312" w:hAnsi="仿宋_GB2312" w:eastAsia="仿宋_GB2312"/>
          <w:color w:val="auto"/>
          <w:position w:val="0"/>
          <w:sz w:val="32"/>
          <w:szCs w:val="32"/>
        </w:rPr>
        <w:t>%。其中：</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（一）一般公共服务支出年初预算数为</w:t>
      </w:r>
      <w:r>
        <w:rPr>
          <w:rFonts w:hint="eastAsia" w:ascii="仿宋_GB2312" w:hAnsi="仿宋_GB2312" w:eastAsia="仿宋_GB2312"/>
          <w:color w:val="auto"/>
          <w:position w:val="0"/>
          <w:sz w:val="32"/>
          <w:szCs w:val="32"/>
          <w:lang w:val="en-US" w:eastAsia="zh-CN"/>
        </w:rPr>
        <w:t>387.47</w:t>
      </w:r>
      <w:r>
        <w:rPr>
          <w:rFonts w:hint="default" w:ascii="仿宋_GB2312" w:hAnsi="仿宋_GB2312" w:eastAsia="仿宋_GB2312"/>
          <w:color w:val="auto"/>
          <w:position w:val="0"/>
          <w:sz w:val="32"/>
          <w:szCs w:val="32"/>
        </w:rPr>
        <w:t>万元，决算数为  344.39万元，完成年初预算的</w:t>
      </w:r>
      <w:r>
        <w:rPr>
          <w:rFonts w:hint="eastAsia" w:ascii="仿宋_GB2312" w:hAnsi="仿宋_GB2312" w:eastAsia="仿宋_GB2312"/>
          <w:color w:val="auto"/>
          <w:position w:val="0"/>
          <w:sz w:val="32"/>
          <w:szCs w:val="32"/>
          <w:lang w:val="en-US" w:eastAsia="zh-CN"/>
        </w:rPr>
        <w:t>89</w:t>
      </w:r>
      <w:r>
        <w:rPr>
          <w:rFonts w:hint="default" w:ascii="仿宋_GB2312" w:hAnsi="仿宋_GB2312" w:eastAsia="仿宋_GB2312"/>
          <w:color w:val="auto"/>
          <w:position w:val="0"/>
          <w:sz w:val="32"/>
          <w:szCs w:val="32"/>
        </w:rPr>
        <w:t>%，主要原因是：</w:t>
      </w:r>
      <w:r>
        <w:rPr>
          <w:rFonts w:hint="eastAsia" w:ascii="仿宋_GB2312" w:hAnsi="仿宋_GB2312" w:eastAsia="仿宋_GB2312"/>
          <w:color w:val="auto"/>
          <w:position w:val="0"/>
          <w:sz w:val="32"/>
          <w:szCs w:val="32"/>
          <w:lang w:eastAsia="zh-CN"/>
        </w:rPr>
        <w:t>节减公共支出</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（二）社会保障和就业支出年初预算数为</w:t>
      </w:r>
      <w:r>
        <w:rPr>
          <w:rFonts w:hint="eastAsia" w:ascii="仿宋_GB2312" w:hAnsi="仿宋_GB2312" w:eastAsia="仿宋_GB2312"/>
          <w:color w:val="auto"/>
          <w:position w:val="0"/>
          <w:sz w:val="32"/>
          <w:szCs w:val="32"/>
          <w:lang w:val="en-US" w:eastAsia="zh-CN"/>
        </w:rPr>
        <w:t>41.48</w:t>
      </w:r>
      <w:r>
        <w:rPr>
          <w:rFonts w:hint="default" w:ascii="仿宋_GB2312" w:hAnsi="仿宋_GB2312" w:eastAsia="仿宋_GB2312"/>
          <w:color w:val="auto"/>
          <w:position w:val="0"/>
          <w:sz w:val="32"/>
          <w:szCs w:val="32"/>
        </w:rPr>
        <w:t>万元，决算数为  41.48万元，完成年初预算的</w:t>
      </w:r>
      <w:r>
        <w:rPr>
          <w:rFonts w:hint="eastAsia" w:ascii="仿宋_GB2312" w:hAnsi="仿宋_GB2312" w:eastAsia="仿宋_GB2312"/>
          <w:color w:val="auto"/>
          <w:position w:val="0"/>
          <w:sz w:val="32"/>
          <w:szCs w:val="32"/>
          <w:lang w:val="en-US" w:eastAsia="zh-CN"/>
        </w:rPr>
        <w:t>100</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（三）住房保障支出年初预算数为</w:t>
      </w:r>
      <w:r>
        <w:rPr>
          <w:rFonts w:hint="eastAsia" w:ascii="仿宋_GB2312" w:hAnsi="仿宋_GB2312" w:eastAsia="仿宋_GB2312"/>
          <w:color w:val="auto"/>
          <w:position w:val="0"/>
          <w:sz w:val="32"/>
          <w:szCs w:val="32"/>
          <w:lang w:val="en-US" w:eastAsia="zh-CN"/>
        </w:rPr>
        <w:t>24.44</w:t>
      </w:r>
      <w:r>
        <w:rPr>
          <w:rFonts w:hint="default" w:ascii="仿宋_GB2312" w:hAnsi="仿宋_GB2312" w:eastAsia="仿宋_GB2312"/>
          <w:color w:val="auto"/>
          <w:position w:val="0"/>
          <w:sz w:val="32"/>
          <w:szCs w:val="32"/>
        </w:rPr>
        <w:t>万元，决算数为  24.73万元，完成年初预算的</w:t>
      </w:r>
      <w:r>
        <w:rPr>
          <w:rFonts w:hint="eastAsia" w:ascii="仿宋_GB2312" w:hAnsi="仿宋_GB2312" w:eastAsia="仿宋_GB2312"/>
          <w:color w:val="auto"/>
          <w:position w:val="0"/>
          <w:sz w:val="32"/>
          <w:szCs w:val="32"/>
          <w:lang w:val="en-US" w:eastAsia="zh-CN"/>
        </w:rPr>
        <w:t>100</w:t>
      </w:r>
      <w:r>
        <w:rPr>
          <w:rFonts w:hint="default" w:ascii="仿宋_GB2312" w:hAnsi="仿宋_GB2312" w:eastAsia="仿宋_GB2312"/>
          <w:color w:val="auto"/>
          <w:position w:val="0"/>
          <w:sz w:val="32"/>
          <w:szCs w:val="32"/>
        </w:rPr>
        <w:t>%，主要原因是：</w:t>
      </w:r>
      <w:r>
        <w:rPr>
          <w:rFonts w:hint="eastAsia" w:ascii="仿宋_GB2312" w:hAnsi="仿宋_GB2312" w:eastAsia="仿宋_GB2312"/>
          <w:color w:val="auto"/>
          <w:position w:val="0"/>
          <w:sz w:val="32"/>
          <w:szCs w:val="32"/>
          <w:lang w:eastAsia="zh-CN"/>
        </w:rPr>
        <w:t>人员增资</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（四）其他支出年初预算数为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万元，决算数为  54.23万元，</w:t>
      </w:r>
      <w:r>
        <w:rPr>
          <w:rFonts w:hint="eastAsia" w:ascii="仿宋_GB2312" w:hAnsi="仿宋_GB2312" w:eastAsia="仿宋_GB2312"/>
          <w:color w:val="auto"/>
          <w:position w:val="0"/>
          <w:sz w:val="32"/>
          <w:szCs w:val="32"/>
          <w:lang w:eastAsia="zh-CN"/>
        </w:rPr>
        <w:t>超出</w:t>
      </w:r>
      <w:r>
        <w:rPr>
          <w:rFonts w:hint="default" w:ascii="仿宋_GB2312" w:hAnsi="仿宋_GB2312" w:eastAsia="仿宋_GB2312"/>
          <w:color w:val="auto"/>
          <w:position w:val="0"/>
          <w:sz w:val="32"/>
          <w:szCs w:val="32"/>
        </w:rPr>
        <w:t>年初预算，主要原因是</w:t>
      </w:r>
      <w:r>
        <w:rPr>
          <w:rFonts w:hint="eastAsia" w:ascii="仿宋_GB2312" w:hAnsi="仿宋_GB2312" w:eastAsia="仿宋_GB2312"/>
          <w:color w:val="auto"/>
          <w:position w:val="0"/>
          <w:sz w:val="32"/>
          <w:szCs w:val="32"/>
          <w:lang w:eastAsia="zh-CN"/>
        </w:rPr>
        <w:t>由于临时性工作任务，增加其他支出开支</w:t>
      </w:r>
      <w:r>
        <w:rPr>
          <w:rFonts w:hint="default" w:ascii="仿宋_GB2312" w:hAnsi="仿宋_GB2312" w:eastAsia="仿宋_GB2312"/>
          <w:color w:val="auto"/>
          <w:position w:val="0"/>
          <w:sz w:val="32"/>
          <w:szCs w:val="32"/>
        </w:rPr>
        <w:t>。</w:t>
      </w:r>
    </w:p>
    <w:p>
      <w:pPr>
        <w:numPr>
          <w:ilvl w:val="0"/>
          <w:numId w:val="0"/>
        </w:numPr>
        <w:autoSpaceDE/>
        <w:autoSpaceDN/>
        <w:spacing w:before="0" w:after="0" w:line="240" w:lineRule="auto"/>
        <w:ind w:right="0" w:firstLine="630"/>
        <w:jc w:val="left"/>
        <w:rPr>
          <w:rFonts w:hint="default" w:ascii="黑体" w:hAnsi="黑体" w:eastAsia="黑体"/>
          <w:color w:val="auto"/>
          <w:position w:val="0"/>
          <w:sz w:val="32"/>
          <w:szCs w:val="32"/>
        </w:rPr>
      </w:pPr>
      <w:r>
        <w:rPr>
          <w:rFonts w:hint="default" w:ascii="黑体" w:hAnsi="黑体" w:eastAsia="黑体"/>
          <w:color w:val="auto"/>
          <w:position w:val="0"/>
          <w:sz w:val="32"/>
          <w:szCs w:val="32"/>
        </w:rPr>
        <w:t>四、一般公共预算财政拨款基本支出决算情况说明</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本部门2017年度一般公共预算财政拨款基本支出 379.6 万元，其中：</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（一）工资福利支出   264.97万元，较2016年增加</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23.97万元，增长10%，主要原因是：自然增资调级。</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（二）商品和服务支出 44.22  万元，较2016年减少46.78万元，下降52  %，主要原因是：</w:t>
      </w:r>
      <w:r>
        <w:rPr>
          <w:rFonts w:hint="eastAsia" w:ascii="仿宋_GB2312" w:hAnsi="仿宋_GB2312" w:eastAsia="仿宋_GB2312"/>
          <w:color w:val="auto"/>
          <w:position w:val="0"/>
          <w:sz w:val="32"/>
          <w:szCs w:val="32"/>
          <w:lang w:eastAsia="zh-CN"/>
        </w:rPr>
        <w:t>节减开支</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（三）对个人和家庭补助支出  69.49万元，较2016年（减少） 12.41 万元，（下降）  16%，主要原因是：</w:t>
      </w:r>
      <w:r>
        <w:rPr>
          <w:rFonts w:hint="eastAsia" w:ascii="仿宋_GB2312" w:hAnsi="仿宋_GB2312" w:eastAsia="仿宋_GB2312"/>
          <w:color w:val="auto"/>
          <w:position w:val="0"/>
          <w:sz w:val="32"/>
          <w:szCs w:val="32"/>
          <w:lang w:eastAsia="zh-CN"/>
        </w:rPr>
        <w:t>人员减少</w:t>
      </w:r>
      <w:r>
        <w:rPr>
          <w:rFonts w:hint="eastAsia" w:ascii="仿宋_GB2312" w:hAnsi="仿宋_GB2312" w:eastAsia="仿宋_GB2312"/>
          <w:color w:val="auto"/>
          <w:position w:val="0"/>
          <w:sz w:val="32"/>
          <w:szCs w:val="32"/>
          <w:lang w:val="en-US" w:eastAsia="zh-CN"/>
        </w:rPr>
        <w:t xml:space="preserve"> </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（四）其他资本性支出 0.92  万元，较2016年（减少）  151.28万元，下降） 99 %，主要原因是：青少年宫16年项目支出已经完成，17年没有项目支出。</w:t>
      </w:r>
    </w:p>
    <w:p>
      <w:pPr>
        <w:pStyle w:val="7"/>
        <w:numPr>
          <w:ilvl w:val="0"/>
          <w:numId w:val="0"/>
        </w:numPr>
        <w:autoSpaceDE/>
        <w:autoSpaceDN/>
        <w:spacing w:before="0" w:after="0" w:line="560" w:lineRule="exact"/>
        <w:ind w:right="0" w:firstLine="601"/>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五、一般公共预算财政拨款“三公”经费支出决算情况说明</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本部门2017年度一般公共预算财政拨款“三公”经费支出年初预算数为  2 万元，决算数为 0.84 万元，完成预算的42 %，决算数较2016年减少  0.39万元，下降 32 %，其中：</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（一）因公出国（境）支出年初预算数为   0万元，决算数为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万元，完成预算的</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%，决算数较2016年增加（减少）</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万元，增长（下降）</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（二）公务接待费支出年初预算数为   2万元，决算数为  0.84万元，完成预算的42 %，决算数较2016年减少  0.39万元，下降 32 %，主要原因是：加强接待费管理，压缩支出。</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（三）公务用车购置及运行维护费支出 0  万元，其中公务用车购置年初预算数为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万元，决算数为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万元，完成预算的</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%，决算数较2016年增加（减少）</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万元，增长（下降）</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%。公务用车运行维护费支出年初预算数为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万元，决算数为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万元，完成预算的</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%，决算数较2016年增加（减少）</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万元，增长（下降）</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w:t>
      </w:r>
    </w:p>
    <w:p>
      <w:pPr>
        <w:pStyle w:val="7"/>
        <w:numPr>
          <w:ilvl w:val="0"/>
          <w:numId w:val="0"/>
        </w:numPr>
        <w:autoSpaceDE/>
        <w:autoSpaceDN/>
        <w:spacing w:before="0" w:after="0" w:line="560" w:lineRule="exact"/>
        <w:ind w:right="0" w:firstLine="601"/>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六、机关运行经费支出情况说明</w:t>
      </w:r>
    </w:p>
    <w:p>
      <w:pPr>
        <w:pStyle w:val="7"/>
        <w:numPr>
          <w:ilvl w:val="0"/>
          <w:numId w:val="0"/>
        </w:numPr>
        <w:autoSpaceDE/>
        <w:autoSpaceDN/>
        <w:spacing w:before="0" w:after="0" w:line="560" w:lineRule="exact"/>
        <w:ind w:right="0" w:firstLine="601"/>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本部门2017年度机关运行经费支出 45.14  万元（与部门决算中行政单位和参照公务员法管理事业单位一般公共预算财政拨款基本支出中公用经费保持一致），较2016年减少45.86  万元，下降51  %，主要原因是项目支出16年已经完成，17年资本性支出大幅减少。 </w:t>
      </w:r>
    </w:p>
    <w:p>
      <w:pPr>
        <w:pStyle w:val="7"/>
        <w:numPr>
          <w:ilvl w:val="0"/>
          <w:numId w:val="0"/>
        </w:numPr>
        <w:autoSpaceDE/>
        <w:autoSpaceDN/>
        <w:spacing w:before="0" w:after="0" w:line="560" w:lineRule="exact"/>
        <w:ind w:right="0" w:firstLine="601"/>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七、政府采购支出情况说明</w:t>
      </w:r>
    </w:p>
    <w:p>
      <w:pPr>
        <w:pStyle w:val="7"/>
        <w:numPr>
          <w:ilvl w:val="0"/>
          <w:numId w:val="0"/>
        </w:numPr>
        <w:autoSpaceDE/>
        <w:autoSpaceDN/>
        <w:spacing w:before="0" w:after="0" w:line="600" w:lineRule="exact"/>
        <w:ind w:right="0" w:firstLine="600"/>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本部门2017年度政府采购支出总额</w:t>
      </w:r>
      <w:r>
        <w:rPr>
          <w:rFonts w:hint="eastAsia" w:ascii="仿宋_GB2312" w:hAnsi="仿宋_GB2312" w:eastAsia="仿宋_GB2312"/>
          <w:color w:val="auto"/>
          <w:position w:val="0"/>
          <w:sz w:val="32"/>
          <w:szCs w:val="32"/>
          <w:lang w:val="en-US" w:eastAsia="zh-CN"/>
        </w:rPr>
        <w:t>1.58</w:t>
      </w:r>
      <w:r>
        <w:rPr>
          <w:rFonts w:hint="default" w:ascii="仿宋_GB2312" w:hAnsi="仿宋_GB2312" w:eastAsia="仿宋_GB2312"/>
          <w:color w:val="auto"/>
          <w:position w:val="0"/>
          <w:sz w:val="32"/>
          <w:szCs w:val="32"/>
        </w:rPr>
        <w:t xml:space="preserve">万元，其中：政府采购货物支出 </w:t>
      </w:r>
      <w:r>
        <w:rPr>
          <w:rFonts w:hint="eastAsia" w:ascii="仿宋_GB2312" w:hAnsi="仿宋_GB2312" w:eastAsia="仿宋_GB2312"/>
          <w:color w:val="auto"/>
          <w:position w:val="0"/>
          <w:sz w:val="32"/>
          <w:szCs w:val="32"/>
          <w:lang w:val="en-US" w:eastAsia="zh-CN"/>
        </w:rPr>
        <w:t>1.58</w:t>
      </w:r>
      <w:r>
        <w:rPr>
          <w:rFonts w:hint="default" w:ascii="仿宋_GB2312" w:hAnsi="仿宋_GB2312" w:eastAsia="仿宋_GB2312"/>
          <w:color w:val="auto"/>
          <w:position w:val="0"/>
          <w:sz w:val="32"/>
          <w:szCs w:val="32"/>
        </w:rPr>
        <w:t xml:space="preserve"> 万元、政府采购工程支出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万元、政府采购服务支出</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万元。授予中小企业合同金额</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万元，占政府采购支出总额的</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 xml:space="preserve">%，其中：授予小微企业合同金额  </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万元，占政府采购支出总额的</w:t>
      </w:r>
      <w:r>
        <w:rPr>
          <w:rFonts w:hint="eastAsia" w:ascii="仿宋_GB2312" w:hAnsi="仿宋_GB2312" w:eastAsia="仿宋_GB2312"/>
          <w:color w:val="auto"/>
          <w:position w:val="0"/>
          <w:sz w:val="32"/>
          <w:szCs w:val="32"/>
          <w:lang w:val="en-US" w:eastAsia="zh-CN"/>
        </w:rPr>
        <w:t>0</w:t>
      </w:r>
      <w:r>
        <w:rPr>
          <w:rFonts w:hint="default" w:ascii="仿宋_GB2312" w:hAnsi="仿宋_GB2312" w:eastAsia="仿宋_GB2312"/>
          <w:color w:val="auto"/>
          <w:position w:val="0"/>
          <w:sz w:val="32"/>
          <w:szCs w:val="32"/>
        </w:rPr>
        <w:t>%</w:t>
      </w:r>
      <w:r>
        <w:rPr>
          <w:rFonts w:hint="eastAsia" w:ascii="仿宋_GB2312" w:hAnsi="仿宋_GB2312" w:eastAsia="仿宋_GB2312"/>
          <w:color w:val="auto"/>
          <w:position w:val="0"/>
          <w:sz w:val="32"/>
          <w:szCs w:val="32"/>
          <w:lang w:eastAsia="zh-CN"/>
        </w:rPr>
        <w:t>。</w:t>
      </w:r>
    </w:p>
    <w:p>
      <w:pPr>
        <w:numPr>
          <w:ilvl w:val="0"/>
          <w:numId w:val="1"/>
        </w:numPr>
        <w:autoSpaceDE w:val="0"/>
        <w:autoSpaceDN w:val="0"/>
        <w:adjustRightInd w:val="0"/>
        <w:spacing w:line="600" w:lineRule="exact"/>
        <w:ind w:left="600" w:leftChars="0" w:firstLine="0" w:firstLineChars="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预算绩效情况说明</w:t>
      </w:r>
    </w:p>
    <w:p>
      <w:pPr>
        <w:numPr>
          <w:ilvl w:val="0"/>
          <w:numId w:val="0"/>
        </w:numPr>
        <w:autoSpaceDE w:val="0"/>
        <w:autoSpaceDN w:val="0"/>
        <w:adjustRightInd w:val="0"/>
        <w:spacing w:line="600" w:lineRule="exact"/>
        <w:ind w:left="600" w:leftChars="0"/>
        <w:jc w:val="left"/>
        <w:rPr>
          <w:rFonts w:hint="eastAsia" w:ascii="仿宋_GB2312" w:hAnsi="仿宋_GB2312" w:eastAsia="仿宋_GB2312"/>
          <w:kern w:val="0"/>
          <w:sz w:val="30"/>
          <w:szCs w:val="30"/>
          <w:lang w:val="en-US" w:eastAsia="zh-CN"/>
        </w:rPr>
      </w:pPr>
      <w:r>
        <w:rPr>
          <w:rFonts w:hint="eastAsia" w:ascii="仿宋_GB2312" w:hAnsi="仿宋_GB2312" w:eastAsia="仿宋_GB2312"/>
          <w:kern w:val="0"/>
          <w:sz w:val="30"/>
          <w:szCs w:val="30"/>
          <w:lang w:val="en-US" w:eastAsia="zh-CN"/>
        </w:rPr>
        <w:t>本部门2017年度未开展项目绩效评价工作。</w:t>
      </w:r>
    </w:p>
    <w:p>
      <w:pPr>
        <w:widowControl/>
        <w:spacing w:line="600" w:lineRule="exact"/>
        <w:ind w:firstLine="640"/>
        <w:jc w:val="center"/>
        <w:rPr>
          <w:rFonts w:hint="eastAsia" w:ascii="黑体" w:hAnsi="黑体" w:eastAsia="黑体" w:cs="黑体"/>
          <w:sz w:val="30"/>
          <w:szCs w:val="30"/>
        </w:rPr>
      </w:pPr>
    </w:p>
    <w:p>
      <w:pPr>
        <w:widowControl/>
        <w:spacing w:line="600" w:lineRule="exact"/>
        <w:ind w:firstLine="640"/>
        <w:jc w:val="center"/>
        <w:rPr>
          <w:rFonts w:ascii="黑体" w:hAnsi="黑体" w:eastAsia="黑体"/>
          <w:sz w:val="30"/>
          <w:szCs w:val="30"/>
        </w:rPr>
      </w:pPr>
      <w:r>
        <w:rPr>
          <w:rFonts w:hint="eastAsia" w:ascii="黑体" w:hAnsi="黑体" w:eastAsia="黑体" w:cs="黑体"/>
          <w:sz w:val="30"/>
          <w:szCs w:val="30"/>
        </w:rPr>
        <w:t>第四部分</w:t>
      </w:r>
      <w:r>
        <w:rPr>
          <w:rFonts w:ascii="黑体" w:hAnsi="黑体" w:eastAsia="黑体" w:cs="黑体"/>
          <w:sz w:val="30"/>
          <w:szCs w:val="30"/>
        </w:rPr>
        <w:t xml:space="preserve">  </w:t>
      </w:r>
      <w:r>
        <w:rPr>
          <w:rFonts w:hint="eastAsia" w:ascii="黑体" w:hAnsi="黑体" w:eastAsia="黑体" w:cs="黑体"/>
          <w:sz w:val="30"/>
          <w:szCs w:val="30"/>
        </w:rPr>
        <w:t>名词解释</w:t>
      </w:r>
    </w:p>
    <w:p>
      <w:pPr>
        <w:widowControl/>
        <w:spacing w:line="600" w:lineRule="exact"/>
        <w:ind w:firstLine="641"/>
        <w:jc w:val="center"/>
        <w:rPr>
          <w:rFonts w:ascii="仿宋_GB2312" w:hAnsi="仿宋_GB2312" w:eastAsia="仿宋_GB2312"/>
          <w:b/>
          <w:bCs/>
          <w:sz w:val="30"/>
          <w:szCs w:val="30"/>
        </w:rPr>
      </w:pPr>
    </w:p>
    <w:p>
      <w:pPr>
        <w:numPr>
          <w:ilvl w:val="0"/>
          <w:numId w:val="2"/>
        </w:numPr>
        <w:ind w:firstLine="63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财政拨款：指市级财政当年拨付的资金。</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2.其他收入：指除财政拨款、事业收入、事业单位经营收入等以外的各项收入。</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3.上年结转和结余：填列2016年全部结转和结余的资金数，包括当年结转结余资金和历年滚存结转结余资金。</w:t>
      </w:r>
    </w:p>
    <w:p>
      <w:pPr>
        <w:numPr>
          <w:ilvl w:val="0"/>
          <w:numId w:val="2"/>
        </w:numPr>
        <w:ind w:left="0" w:leftChars="0" w:firstLine="63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行政运行</w:t>
      </w:r>
      <w:r>
        <w:rPr>
          <w:rFonts w:hint="eastAsia" w:ascii="仿宋_GB2312" w:hAnsi="仿宋_GB2312" w:eastAsia="仿宋_GB2312" w:cs="仿宋_GB2312"/>
          <w:sz w:val="32"/>
          <w:szCs w:val="32"/>
          <w:lang w:eastAsia="zh-CN"/>
        </w:rPr>
        <w:t>（政府办公厅（室）及相关机构事务）</w:t>
      </w:r>
      <w:r>
        <w:rPr>
          <w:rFonts w:hint="eastAsia" w:ascii="仿宋_GB2312" w:hAnsi="仿宋_GB2312" w:eastAsia="仿宋_GB2312" w:cs="仿宋_GB2312"/>
          <w:sz w:val="32"/>
          <w:szCs w:val="32"/>
        </w:rPr>
        <w:t>：反映行政单位（包括</w:t>
      </w:r>
      <w:r>
        <w:rPr>
          <w:rFonts w:hint="eastAsia" w:ascii="仿宋_GB2312" w:hAnsi="仿宋_GB2312" w:eastAsia="仿宋_GB2312" w:cs="仿宋_GB2312"/>
          <w:sz w:val="32"/>
          <w:szCs w:val="32"/>
          <w:lang w:eastAsia="zh-CN"/>
        </w:rPr>
        <w:t>实行公务员管理事业</w:t>
      </w:r>
      <w:r>
        <w:rPr>
          <w:rFonts w:hint="eastAsia" w:ascii="仿宋_GB2312" w:hAnsi="仿宋_GB2312" w:eastAsia="仿宋_GB2312" w:cs="仿宋_GB2312"/>
          <w:sz w:val="32"/>
          <w:szCs w:val="32"/>
        </w:rPr>
        <w:t>单位）的基本支出。</w:t>
      </w:r>
      <w:r>
        <w:rPr>
          <w:rFonts w:hint="eastAsia" w:ascii="仿宋_GB2312" w:hAnsi="仿宋_GB2312" w:eastAsia="仿宋_GB2312" w:cs="仿宋_GB2312"/>
          <w:sz w:val="32"/>
          <w:szCs w:val="32"/>
          <w:lang w:val="en-US" w:eastAsia="zh-CN"/>
        </w:rPr>
        <w:t xml:space="preserve">  </w:t>
      </w:r>
    </w:p>
    <w:p>
      <w:pPr>
        <w:numPr>
          <w:ilvl w:val="0"/>
          <w:numId w:val="0"/>
        </w:numPr>
        <w:ind w:left="0" w:leftChars="0" w:firstLine="681" w:firstLineChars="21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（三）一般行政管理事务</w:t>
      </w:r>
      <w:r>
        <w:rPr>
          <w:rFonts w:hint="eastAsia" w:ascii="仿宋_GB2312" w:hAnsi="仿宋_GB2312" w:eastAsia="仿宋_GB2312" w:cs="仿宋_GB2312"/>
          <w:sz w:val="32"/>
          <w:szCs w:val="32"/>
          <w:lang w:eastAsia="zh-CN"/>
        </w:rPr>
        <w:t>（政府办公厅（室）及相关机构事务）：反映行政单位</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实行公务员管理事业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未单独设置项级科目的其他项目支出。</w:t>
      </w:r>
    </w:p>
    <w:p>
      <w:pPr>
        <w:numPr>
          <w:ilvl w:val="0"/>
          <w:numId w:val="0"/>
        </w:numPr>
        <w:ind w:left="0" w:leftChars="0" w:firstLine="681" w:firstLineChars="21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（四）事业运行</w:t>
      </w:r>
      <w:r>
        <w:rPr>
          <w:rFonts w:hint="eastAsia" w:ascii="仿宋_GB2312" w:hAnsi="仿宋_GB2312" w:eastAsia="仿宋_GB2312" w:cs="仿宋_GB2312"/>
          <w:sz w:val="32"/>
          <w:szCs w:val="32"/>
          <w:lang w:eastAsia="zh-CN"/>
        </w:rPr>
        <w:t>（政府办公厅（室）及相关机构事务）：反映事业单位的基本支出，不包括行政单位</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实行公务员管理事业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后勤服务中心、医务室等附属事业单位。</w:t>
      </w:r>
    </w:p>
    <w:p>
      <w:pPr>
        <w:numPr>
          <w:ilvl w:val="0"/>
          <w:numId w:val="0"/>
        </w:numPr>
        <w:ind w:left="0" w:leftChars="0" w:firstLine="681" w:firstLineChars="21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（五）机关服务（党委办公厅（室）及相关机构事务）：反映为行政单位（</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实行公务员管理事业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）提供后勤服务的各类后勤服务中心，医务室等附属事业单位的支出。其他事业单位的支出，凡单独设置了项级科目的，在“其他”项级科目中反映。</w:t>
      </w:r>
    </w:p>
    <w:p>
      <w:pPr>
        <w:numPr>
          <w:ilvl w:val="0"/>
          <w:numId w:val="0"/>
        </w:numPr>
        <w:ind w:left="0" w:leftChars="0" w:firstLine="681" w:firstLineChars="21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（六）机关事业单位基本养老保险缴费支出：反映机关事业单位实施养老保险制度由单位缴纳的基本养老保险支出。</w:t>
      </w:r>
    </w:p>
    <w:p>
      <w:pPr>
        <w:numPr>
          <w:ilvl w:val="0"/>
          <w:numId w:val="0"/>
        </w:numPr>
        <w:ind w:left="0" w:leftChars="0" w:firstLine="681" w:firstLineChars="21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（七）事业单位医疗：反映财政部门集中安排的事业单位基本医疗保险缴费经费，未参加医疗保险的事业单位的公费医疗经费，按国家规定享受离休人员待遇的医疗经费。</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left="0" w:leftChars="0" w:firstLine="681" w:firstLineChars="2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w:t>
      </w:r>
      <w:r>
        <w:rPr>
          <w:rFonts w:hint="eastAsia" w:ascii="仿宋_GB2312" w:hAnsi="仿宋_GB2312" w:eastAsia="仿宋_GB2312" w:cs="仿宋_GB2312"/>
          <w:sz w:val="32"/>
          <w:szCs w:val="32"/>
          <w:lang w:eastAsia="zh-CN"/>
        </w:rPr>
        <w:t>、公务用车运行维护费以及其他费用。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5ADB6"/>
    <w:multiLevelType w:val="singleLevel"/>
    <w:tmpl w:val="AA15ADB6"/>
    <w:lvl w:ilvl="0" w:tentative="0">
      <w:start w:val="8"/>
      <w:numFmt w:val="chineseCounting"/>
      <w:suff w:val="nothing"/>
      <w:lvlText w:val="%1、"/>
      <w:lvlJc w:val="left"/>
      <w:pPr>
        <w:ind w:left="600" w:leftChars="0" w:firstLine="0" w:firstLineChars="0"/>
      </w:pPr>
      <w:rPr>
        <w:rFonts w:hint="eastAsia"/>
      </w:rPr>
    </w:lvl>
  </w:abstractNum>
  <w:abstractNum w:abstractNumId="1">
    <w:nsid w:val="C509543A"/>
    <w:multiLevelType w:val="singleLevel"/>
    <w:tmpl w:val="C50954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C87B8C"/>
    <w:rsid w:val="25402FDD"/>
    <w:rsid w:val="3C0D4B54"/>
    <w:rsid w:val="3FF07F53"/>
    <w:rsid w:val="502D16BB"/>
    <w:rsid w:val="58DB4FEB"/>
    <w:rsid w:val="5F6F57F5"/>
    <w:rsid w:val="6F063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rPr>
      <w:rFonts w:cs="Times New Roman"/>
    </w:rPr>
  </w:style>
  <w:style w:type="paragraph" w:customStyle="1" w:styleId="7">
    <w:name w:val="p0"/>
    <w:basedOn w:val="1"/>
    <w:qFormat/>
    <w:uiPriority w:val="151"/>
    <w:pPr>
      <w:widowControl/>
      <w:wordWrap/>
      <w:autoSpaceDE/>
      <w:autoSpaceDN/>
    </w:pPr>
    <w:rPr>
      <w:rFonts w:ascii="宋体" w:hAnsi="宋体" w:eastAsia="宋体"/>
      <w:w w:val="100"/>
      <w:sz w:val="20"/>
      <w:szCs w:val="20"/>
      <w:shd w:val="clear"/>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2018-10-12T01:51:00Z</dcterms:created>
  <dc:creator>Administrator</dc:creator>
  <cp:lastModifiedBy>Administrator</cp:lastModifiedBy>
  <dcterms:modified xsi:type="dcterms:W3CDTF">2018-10-12T09:01:41Z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