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cs="仿宋"/>
          <w:b/>
          <w:bCs/>
          <w:sz w:val="44"/>
          <w:szCs w:val="44"/>
        </w:rPr>
      </w:pPr>
      <w:r>
        <w:rPr>
          <w:rFonts w:hint="eastAsia" w:ascii="仿宋" w:hAnsi="仿宋" w:eastAsia="仿宋" w:cs="仿宋"/>
          <w:b/>
          <w:bCs/>
          <w:sz w:val="44"/>
          <w:szCs w:val="44"/>
        </w:rPr>
        <w:t>共青团景德镇市委2021年度部门决算</w:t>
      </w:r>
    </w:p>
    <w:p>
      <w:pPr>
        <w:spacing w:line="600" w:lineRule="exact"/>
        <w:jc w:val="center"/>
        <w:rPr>
          <w:rFonts w:ascii="仿宋" w:hAnsi="仿宋" w:eastAsia="仿宋" w:cs="仿宋"/>
          <w:sz w:val="44"/>
          <w:szCs w:val="44"/>
        </w:rPr>
      </w:pPr>
    </w:p>
    <w:p>
      <w:pPr>
        <w:spacing w:line="600" w:lineRule="exact"/>
        <w:jc w:val="center"/>
        <w:rPr>
          <w:rFonts w:ascii="仿宋" w:hAnsi="仿宋" w:eastAsia="仿宋" w:cs="仿宋"/>
          <w:b/>
          <w:bCs/>
          <w:sz w:val="44"/>
          <w:szCs w:val="44"/>
        </w:rPr>
      </w:pPr>
      <w:r>
        <w:rPr>
          <w:rFonts w:hint="eastAsia" w:ascii="仿宋" w:hAnsi="仿宋" w:eastAsia="仿宋" w:cs="仿宋"/>
          <w:b/>
          <w:bCs/>
          <w:sz w:val="44"/>
          <w:szCs w:val="44"/>
        </w:rPr>
        <w:t>目    录</w:t>
      </w:r>
    </w:p>
    <w:p>
      <w:pPr>
        <w:widowControl/>
        <w:spacing w:line="600" w:lineRule="exact"/>
        <w:jc w:val="left"/>
        <w:rPr>
          <w:rFonts w:ascii="仿宋" w:hAnsi="仿宋" w:eastAsia="仿宋" w:cs="仿宋"/>
          <w:sz w:val="32"/>
          <w:szCs w:val="30"/>
        </w:rPr>
      </w:pPr>
    </w:p>
    <w:p>
      <w:pPr>
        <w:widowControl/>
        <w:spacing w:line="600" w:lineRule="exact"/>
        <w:ind w:firstLine="1603" w:firstLineChars="499"/>
        <w:jc w:val="left"/>
        <w:rPr>
          <w:rFonts w:ascii="仿宋" w:hAnsi="仿宋" w:eastAsia="仿宋" w:cs="仿宋"/>
          <w:b/>
          <w:sz w:val="32"/>
          <w:szCs w:val="32"/>
        </w:rPr>
      </w:pPr>
      <w:r>
        <w:rPr>
          <w:rFonts w:hint="eastAsia" w:ascii="仿宋" w:hAnsi="仿宋" w:eastAsia="仿宋" w:cs="仿宋"/>
          <w:b/>
          <w:bCs/>
          <w:sz w:val="32"/>
          <w:szCs w:val="32"/>
        </w:rPr>
        <w:t>第一部分</w:t>
      </w:r>
      <w:r>
        <w:rPr>
          <w:rFonts w:hint="eastAsia" w:ascii="仿宋" w:hAnsi="仿宋" w:eastAsia="仿宋" w:cs="仿宋"/>
          <w:b/>
          <w:sz w:val="32"/>
          <w:szCs w:val="32"/>
        </w:rPr>
        <w:t xml:space="preserve">  团市委部门</w:t>
      </w:r>
      <w:r>
        <w:rPr>
          <w:rFonts w:hint="eastAsia" w:ascii="仿宋" w:hAnsi="仿宋" w:eastAsia="仿宋" w:cs="仿宋"/>
          <w:b/>
          <w:bCs/>
          <w:sz w:val="32"/>
          <w:szCs w:val="32"/>
        </w:rPr>
        <w:t>概况</w:t>
      </w:r>
    </w:p>
    <w:p>
      <w:pPr>
        <w:widowControl/>
        <w:spacing w:line="600" w:lineRule="exact"/>
        <w:ind w:firstLine="1760" w:firstLineChars="550"/>
        <w:jc w:val="left"/>
        <w:rPr>
          <w:rFonts w:ascii="仿宋" w:hAnsi="仿宋" w:eastAsia="仿宋" w:cs="仿宋"/>
          <w:sz w:val="32"/>
          <w:szCs w:val="30"/>
        </w:rPr>
      </w:pPr>
      <w:r>
        <w:rPr>
          <w:rFonts w:hint="eastAsia" w:ascii="仿宋" w:hAnsi="仿宋" w:eastAsia="仿宋" w:cs="仿宋"/>
          <w:sz w:val="32"/>
          <w:szCs w:val="30"/>
        </w:rPr>
        <w:t>一、部门主要职责</w:t>
      </w:r>
    </w:p>
    <w:p>
      <w:pPr>
        <w:widowControl/>
        <w:spacing w:line="60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 xml:space="preserve">       二、部门基本情况</w:t>
      </w:r>
    </w:p>
    <w:p>
      <w:pPr>
        <w:widowControl/>
        <w:spacing w:line="600" w:lineRule="exact"/>
        <w:ind w:firstLine="960" w:firstLineChars="300"/>
        <w:jc w:val="left"/>
        <w:rPr>
          <w:rFonts w:ascii="黑体" w:hAnsi="黑体" w:eastAsia="黑体"/>
          <w:sz w:val="32"/>
          <w:szCs w:val="32"/>
        </w:rPr>
      </w:pPr>
      <w:r>
        <w:rPr>
          <w:rFonts w:hint="eastAsia" w:ascii="黑体" w:hAnsi="黑体" w:eastAsia="黑体"/>
          <w:sz w:val="32"/>
          <w:szCs w:val="32"/>
        </w:rPr>
        <w:t>第二部分  2021年度部门决算表</w:t>
      </w:r>
    </w:p>
    <w:p>
      <w:pPr>
        <w:widowControl/>
        <w:spacing w:line="600" w:lineRule="exact"/>
        <w:ind w:firstLine="1440" w:firstLineChars="450"/>
        <w:jc w:val="left"/>
        <w:rPr>
          <w:rFonts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440" w:firstLineChars="450"/>
        <w:jc w:val="left"/>
        <w:rPr>
          <w:rFonts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640"/>
        <w:jc w:val="left"/>
        <w:rPr>
          <w:rFonts w:ascii="仿宋_GB2312" w:hAnsi="仿宋_GB2312" w:eastAsia="仿宋_GB2312" w:cs="宋体"/>
          <w:kern w:val="0"/>
          <w:sz w:val="32"/>
          <w:szCs w:val="32"/>
        </w:rPr>
      </w:pPr>
      <w:r>
        <w:rPr>
          <w:rFonts w:hint="eastAsia" w:ascii="仿宋_GB2312" w:hAnsi="仿宋_GB2312" w:eastAsia="仿宋_GB2312" w:cs="宋体"/>
          <w:kern w:val="0"/>
          <w:sz w:val="32"/>
          <w:szCs w:val="32"/>
        </w:rPr>
        <w:t xml:space="preserve">     三、支出决算表</w:t>
      </w:r>
    </w:p>
    <w:p>
      <w:pPr>
        <w:widowControl/>
        <w:spacing w:line="600" w:lineRule="exact"/>
        <w:ind w:firstLine="640"/>
        <w:jc w:val="left"/>
        <w:rPr>
          <w:rFonts w:ascii="仿宋_GB2312" w:hAnsi="仿宋_GB2312" w:eastAsia="仿宋_GB2312" w:cs="宋体"/>
          <w:kern w:val="0"/>
          <w:sz w:val="32"/>
          <w:szCs w:val="32"/>
        </w:rPr>
      </w:pPr>
      <w:r>
        <w:rPr>
          <w:rFonts w:hint="eastAsia" w:ascii="仿宋_GB2312" w:hAnsi="仿宋_GB2312" w:eastAsia="仿宋_GB2312" w:cs="宋体"/>
          <w:kern w:val="0"/>
          <w:sz w:val="32"/>
          <w:szCs w:val="32"/>
        </w:rPr>
        <w:t xml:space="preserve">     四、财政拨款收入支出决算总表</w:t>
      </w:r>
    </w:p>
    <w:p>
      <w:pPr>
        <w:widowControl/>
        <w:spacing w:line="600" w:lineRule="exact"/>
        <w:ind w:firstLine="640"/>
        <w:jc w:val="left"/>
        <w:rPr>
          <w:rFonts w:ascii="仿宋_GB2312" w:hAnsi="仿宋_GB2312" w:eastAsia="仿宋_GB2312" w:cs="宋体"/>
          <w:kern w:val="0"/>
          <w:sz w:val="32"/>
          <w:szCs w:val="32"/>
        </w:rPr>
      </w:pPr>
      <w:r>
        <w:rPr>
          <w:rFonts w:hint="eastAsia" w:ascii="仿宋_GB2312" w:hAnsi="仿宋_GB2312" w:eastAsia="仿宋_GB2312" w:cs="宋体"/>
          <w:kern w:val="0"/>
          <w:sz w:val="32"/>
          <w:szCs w:val="32"/>
        </w:rPr>
        <w:t xml:space="preserve">     五、一般公共预算财政拨款支出决算表</w:t>
      </w:r>
    </w:p>
    <w:p>
      <w:pPr>
        <w:widowControl/>
        <w:spacing w:line="600" w:lineRule="exact"/>
        <w:ind w:firstLine="640"/>
        <w:jc w:val="left"/>
        <w:rPr>
          <w:rFonts w:ascii="仿宋_GB2312" w:hAnsi="仿宋_GB2312" w:eastAsia="仿宋_GB2312" w:cs="宋体"/>
          <w:kern w:val="0"/>
          <w:sz w:val="32"/>
          <w:szCs w:val="32"/>
        </w:rPr>
      </w:pPr>
      <w:r>
        <w:rPr>
          <w:rFonts w:hint="eastAsia" w:ascii="仿宋_GB2312" w:hAnsi="仿宋_GB2312" w:eastAsia="仿宋_GB2312" w:cs="宋体"/>
          <w:kern w:val="0"/>
          <w:sz w:val="32"/>
          <w:szCs w:val="32"/>
        </w:rPr>
        <w:t xml:space="preserve">     六、一般公共预算财政拨款基本支出决算表</w:t>
      </w:r>
    </w:p>
    <w:p>
      <w:pPr>
        <w:widowControl/>
        <w:spacing w:line="600" w:lineRule="exact"/>
        <w:ind w:firstLine="640"/>
        <w:jc w:val="left"/>
        <w:rPr>
          <w:rFonts w:ascii="仿宋_GB2312" w:hAnsi="仿宋_GB2312" w:eastAsia="仿宋_GB2312" w:cs="宋体"/>
          <w:kern w:val="0"/>
          <w:sz w:val="32"/>
          <w:szCs w:val="32"/>
        </w:rPr>
      </w:pPr>
      <w:r>
        <w:rPr>
          <w:rFonts w:hint="eastAsia" w:ascii="仿宋_GB2312" w:hAnsi="仿宋_GB2312" w:eastAsia="仿宋_GB2312" w:cs="宋体"/>
          <w:kern w:val="0"/>
          <w:sz w:val="32"/>
          <w:szCs w:val="32"/>
        </w:rPr>
        <w:t xml:space="preserve">     七、一般公共预算财政拨款“三公”经费支出决算</w:t>
      </w:r>
    </w:p>
    <w:p>
      <w:pPr>
        <w:widowControl/>
        <w:spacing w:line="600" w:lineRule="exact"/>
        <w:ind w:firstLine="640"/>
        <w:jc w:val="left"/>
        <w:rPr>
          <w:rFonts w:ascii="仿宋_GB2312" w:hAnsi="仿宋_GB2312" w:eastAsia="仿宋_GB2312" w:cs="宋体"/>
          <w:kern w:val="0"/>
          <w:sz w:val="32"/>
          <w:szCs w:val="32"/>
        </w:rPr>
      </w:pPr>
      <w:r>
        <w:rPr>
          <w:rFonts w:hint="eastAsia" w:ascii="仿宋_GB2312" w:hAnsi="仿宋_GB2312" w:eastAsia="仿宋_GB2312" w:cs="宋体"/>
          <w:kern w:val="0"/>
          <w:sz w:val="32"/>
          <w:szCs w:val="32"/>
        </w:rPr>
        <w:t>表</w:t>
      </w:r>
    </w:p>
    <w:p>
      <w:pPr>
        <w:widowControl/>
        <w:numPr>
          <w:ilvl w:val="0"/>
          <w:numId w:val="1"/>
        </w:numPr>
        <w:spacing w:line="600" w:lineRule="exact"/>
        <w:jc w:val="left"/>
        <w:rPr>
          <w:rFonts w:ascii="仿宋_GB2312" w:hAnsi="仿宋_GB2312" w:eastAsia="仿宋_GB2312" w:cs="宋体"/>
          <w:kern w:val="0"/>
          <w:sz w:val="32"/>
          <w:szCs w:val="32"/>
        </w:rPr>
      </w:pPr>
      <w:r>
        <w:rPr>
          <w:rFonts w:hint="eastAsia" w:ascii="仿宋_GB2312" w:hAnsi="仿宋_GB2312" w:eastAsia="仿宋_GB2312" w:cs="宋体"/>
          <w:kern w:val="0"/>
          <w:sz w:val="32"/>
          <w:szCs w:val="32"/>
        </w:rPr>
        <w:t>政府性基金预算财政拨款收入支出决算表</w:t>
      </w:r>
    </w:p>
    <w:p>
      <w:pPr>
        <w:widowControl/>
        <w:numPr>
          <w:ilvl w:val="0"/>
          <w:numId w:val="1"/>
        </w:numPr>
        <w:spacing w:line="600" w:lineRule="exact"/>
        <w:jc w:val="left"/>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国有资本经营预算财政拨款支出决算表</w:t>
      </w:r>
    </w:p>
    <w:p>
      <w:pPr>
        <w:widowControl/>
        <w:spacing w:line="600" w:lineRule="exact"/>
        <w:ind w:firstLine="1280" w:firstLineChars="400"/>
        <w:jc w:val="left"/>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ind w:firstLine="640" w:firstLineChars="200"/>
        <w:jc w:val="left"/>
        <w:rPr>
          <w:rFonts w:ascii="黑体" w:hAnsi="黑体" w:eastAsia="黑体"/>
          <w:sz w:val="32"/>
          <w:szCs w:val="32"/>
        </w:rPr>
      </w:pPr>
      <w:r>
        <w:rPr>
          <w:rFonts w:hint="eastAsia" w:ascii="黑体" w:hAnsi="黑体" w:eastAsia="黑体"/>
          <w:sz w:val="32"/>
          <w:szCs w:val="32"/>
        </w:rPr>
        <w:t>第三部分  2021年度部门决算情况说明</w:t>
      </w:r>
    </w:p>
    <w:p>
      <w:pPr>
        <w:widowControl/>
        <w:spacing w:line="600" w:lineRule="exact"/>
        <w:ind w:firstLine="1280" w:firstLineChars="400"/>
        <w:jc w:val="left"/>
        <w:rPr>
          <w:rFonts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rPr>
          <w:rFonts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rPr>
          <w:rFonts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rPr>
          <w:rFonts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rPr>
          <w:rFonts w:ascii="仿宋_GB2312" w:hAnsi="仿宋_GB2312" w:eastAsia="仿宋_GB2312"/>
          <w:sz w:val="32"/>
          <w:szCs w:val="30"/>
        </w:rPr>
      </w:pPr>
      <w:r>
        <w:rPr>
          <w:rFonts w:hint="eastAsia" w:ascii="仿宋_GB2312" w:hAnsi="仿宋_GB2312" w:eastAsia="仿宋_GB2312"/>
          <w:sz w:val="32"/>
          <w:szCs w:val="30"/>
        </w:rPr>
        <w:t>五、一般公共预算财政拨款“三公”经费支出决算</w:t>
      </w:r>
    </w:p>
    <w:p>
      <w:pPr>
        <w:widowControl/>
        <w:spacing w:line="600" w:lineRule="exact"/>
        <w:jc w:val="left"/>
        <w:rPr>
          <w:rFonts w:ascii="仿宋_GB2312" w:hAnsi="仿宋_GB2312" w:eastAsia="仿宋_GB2312"/>
          <w:sz w:val="32"/>
          <w:szCs w:val="30"/>
        </w:rPr>
      </w:pPr>
      <w:r>
        <w:rPr>
          <w:rFonts w:hint="eastAsia" w:ascii="仿宋_GB2312" w:hAnsi="仿宋_GB2312" w:eastAsia="仿宋_GB2312"/>
          <w:sz w:val="32"/>
          <w:szCs w:val="30"/>
        </w:rPr>
        <w:t xml:space="preserve">    情况说明</w:t>
      </w:r>
    </w:p>
    <w:p>
      <w:pPr>
        <w:widowControl/>
        <w:spacing w:line="600" w:lineRule="exact"/>
        <w:ind w:firstLine="1280" w:firstLineChars="400"/>
        <w:jc w:val="left"/>
        <w:rPr>
          <w:rFonts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640"/>
        <w:jc w:val="left"/>
        <w:rPr>
          <w:rFonts w:ascii="仿宋_GB2312" w:hAnsi="仿宋_GB2312" w:eastAsia="仿宋_GB2312"/>
          <w:sz w:val="32"/>
          <w:szCs w:val="30"/>
        </w:rPr>
      </w:pPr>
      <w:r>
        <w:rPr>
          <w:rFonts w:hint="eastAsia" w:ascii="仿宋_GB2312" w:hAnsi="仿宋_GB2312" w:eastAsia="仿宋_GB2312"/>
          <w:sz w:val="32"/>
          <w:szCs w:val="30"/>
        </w:rPr>
        <w:t xml:space="preserve">    七、政府采购支出情况说明</w:t>
      </w:r>
    </w:p>
    <w:p>
      <w:pPr>
        <w:widowControl/>
        <w:spacing w:line="600" w:lineRule="exact"/>
        <w:ind w:firstLine="640"/>
        <w:jc w:val="left"/>
        <w:rPr>
          <w:rFonts w:ascii="仿宋_GB2312" w:hAnsi="仿宋_GB2312" w:eastAsia="仿宋_GB2312"/>
          <w:sz w:val="32"/>
          <w:szCs w:val="30"/>
        </w:rPr>
      </w:pPr>
      <w:r>
        <w:rPr>
          <w:rFonts w:hint="eastAsia" w:ascii="仿宋_GB2312" w:hAnsi="仿宋_GB2312" w:eastAsia="仿宋_GB2312"/>
          <w:sz w:val="32"/>
          <w:szCs w:val="30"/>
        </w:rPr>
        <w:t xml:space="preserve">    八、国有资产占用情况说明</w:t>
      </w:r>
    </w:p>
    <w:p>
      <w:pPr>
        <w:widowControl/>
        <w:spacing w:line="600" w:lineRule="exact"/>
        <w:ind w:firstLine="640"/>
        <w:jc w:val="left"/>
        <w:rPr>
          <w:rFonts w:ascii="仿宋_GB2312" w:hAnsi="仿宋_GB2312" w:eastAsia="仿宋_GB2312"/>
          <w:sz w:val="32"/>
          <w:szCs w:val="30"/>
        </w:rPr>
      </w:pPr>
      <w:r>
        <w:rPr>
          <w:rFonts w:hint="eastAsia" w:ascii="仿宋_GB2312" w:hAnsi="仿宋_GB2312" w:eastAsia="仿宋_GB2312"/>
          <w:sz w:val="32"/>
          <w:szCs w:val="30"/>
        </w:rPr>
        <w:t xml:space="preserve">    九、预算绩效情况说明</w:t>
      </w:r>
    </w:p>
    <w:p>
      <w:pPr>
        <w:widowControl/>
        <w:spacing w:line="600" w:lineRule="exact"/>
        <w:ind w:firstLine="640"/>
        <w:jc w:val="left"/>
        <w:rPr>
          <w:rFonts w:ascii="仿宋" w:hAnsi="仿宋" w:eastAsia="仿宋" w:cs="仿宋"/>
          <w:sz w:val="32"/>
          <w:szCs w:val="30"/>
        </w:rPr>
      </w:pPr>
      <w:r>
        <w:rPr>
          <w:rFonts w:hint="eastAsia" w:ascii="仿宋" w:hAnsi="仿宋" w:eastAsia="仿宋" w:cs="仿宋"/>
          <w:sz w:val="32"/>
          <w:szCs w:val="32"/>
        </w:rPr>
        <w:t>第四部分  名词解释</w:t>
      </w:r>
    </w:p>
    <w:p>
      <w:pPr>
        <w:spacing w:line="600" w:lineRule="exact"/>
        <w:jc w:val="center"/>
        <w:rPr>
          <w:rFonts w:ascii="仿宋" w:hAnsi="仿宋" w:eastAsia="仿宋" w:cs="仿宋"/>
          <w:sz w:val="44"/>
          <w:szCs w:val="36"/>
        </w:rPr>
      </w:pPr>
    </w:p>
    <w:p>
      <w:pPr>
        <w:ind w:firstLine="630"/>
        <w:jc w:val="center"/>
        <w:rPr>
          <w:rFonts w:ascii="仿宋" w:hAnsi="仿宋" w:eastAsia="仿宋" w:cs="仿宋"/>
          <w:b/>
          <w:sz w:val="36"/>
          <w:szCs w:val="36"/>
        </w:rPr>
      </w:pPr>
    </w:p>
    <w:p>
      <w:pPr>
        <w:ind w:firstLine="630"/>
        <w:jc w:val="center"/>
        <w:rPr>
          <w:rFonts w:ascii="仿宋" w:hAnsi="仿宋" w:eastAsia="仿宋" w:cs="仿宋"/>
          <w:b/>
          <w:sz w:val="36"/>
          <w:szCs w:val="36"/>
        </w:rPr>
      </w:pPr>
    </w:p>
    <w:p>
      <w:pPr>
        <w:ind w:firstLine="630"/>
        <w:jc w:val="center"/>
        <w:rPr>
          <w:rFonts w:ascii="仿宋" w:hAnsi="仿宋" w:eastAsia="仿宋" w:cs="仿宋"/>
          <w:b/>
          <w:sz w:val="36"/>
          <w:szCs w:val="36"/>
        </w:rPr>
      </w:pPr>
    </w:p>
    <w:p>
      <w:pPr>
        <w:ind w:firstLine="630"/>
        <w:jc w:val="center"/>
        <w:rPr>
          <w:rFonts w:ascii="仿宋" w:hAnsi="仿宋" w:eastAsia="仿宋" w:cs="仿宋"/>
          <w:b/>
          <w:sz w:val="36"/>
          <w:szCs w:val="36"/>
        </w:rPr>
      </w:pPr>
    </w:p>
    <w:p>
      <w:pPr>
        <w:ind w:firstLine="630"/>
        <w:jc w:val="center"/>
        <w:rPr>
          <w:rFonts w:ascii="仿宋" w:hAnsi="仿宋" w:eastAsia="仿宋" w:cs="仿宋"/>
          <w:b/>
          <w:sz w:val="36"/>
          <w:szCs w:val="36"/>
        </w:rPr>
      </w:pPr>
    </w:p>
    <w:p>
      <w:pPr>
        <w:ind w:firstLine="630"/>
        <w:jc w:val="center"/>
        <w:rPr>
          <w:rFonts w:ascii="仿宋" w:hAnsi="仿宋" w:eastAsia="仿宋" w:cs="仿宋"/>
          <w:b/>
          <w:sz w:val="36"/>
          <w:szCs w:val="36"/>
        </w:rPr>
      </w:pPr>
    </w:p>
    <w:p>
      <w:pPr>
        <w:widowControl/>
        <w:spacing w:line="580" w:lineRule="exact"/>
        <w:rPr>
          <w:rFonts w:ascii="仿宋" w:hAnsi="仿宋" w:eastAsia="仿宋" w:cs="仿宋"/>
          <w:b/>
          <w:sz w:val="32"/>
          <w:szCs w:val="30"/>
        </w:rPr>
      </w:pPr>
    </w:p>
    <w:p>
      <w:pPr>
        <w:widowControl/>
        <w:spacing w:line="660" w:lineRule="exact"/>
        <w:ind w:firstLine="640"/>
        <w:jc w:val="center"/>
        <w:rPr>
          <w:rFonts w:ascii="黑体" w:hAnsi="黑体" w:eastAsia="黑体" w:cs="仿宋"/>
          <w:b/>
          <w:bCs/>
          <w:sz w:val="32"/>
          <w:szCs w:val="32"/>
        </w:rPr>
      </w:pPr>
      <w:r>
        <w:rPr>
          <w:rFonts w:hint="eastAsia" w:ascii="黑体" w:hAnsi="黑体" w:eastAsia="黑体" w:cs="仿宋"/>
          <w:b/>
          <w:sz w:val="32"/>
          <w:szCs w:val="32"/>
        </w:rPr>
        <w:t>第一部分团市委概况</w:t>
      </w:r>
    </w:p>
    <w:p>
      <w:pPr>
        <w:widowControl/>
        <w:spacing w:line="660" w:lineRule="exact"/>
        <w:ind w:firstLine="640"/>
        <w:jc w:val="left"/>
        <w:rPr>
          <w:rFonts w:ascii="仿宋" w:hAnsi="仿宋" w:eastAsia="仿宋" w:cs="仿宋"/>
          <w:sz w:val="32"/>
          <w:szCs w:val="32"/>
        </w:rPr>
      </w:pPr>
      <w:r>
        <w:rPr>
          <w:rFonts w:hint="eastAsia" w:ascii="仿宋" w:hAnsi="仿宋" w:eastAsia="仿宋" w:cs="仿宋"/>
          <w:sz w:val="32"/>
          <w:szCs w:val="32"/>
        </w:rPr>
        <w:t>一、部门主要职责</w:t>
      </w:r>
    </w:p>
    <w:p>
      <w:pPr>
        <w:widowControl/>
        <w:spacing w:line="660" w:lineRule="exact"/>
        <w:ind w:firstLine="640"/>
        <w:jc w:val="left"/>
        <w:rPr>
          <w:rFonts w:ascii="仿宋" w:hAnsi="仿宋" w:eastAsia="仿宋" w:cs="仿宋"/>
          <w:sz w:val="32"/>
          <w:szCs w:val="32"/>
        </w:rPr>
      </w:pPr>
    </w:p>
    <w:p>
      <w:pPr>
        <w:widowControl/>
        <w:numPr>
          <w:ilvl w:val="0"/>
          <w:numId w:val="2"/>
        </w:numPr>
        <w:ind w:left="239" w:leftChars="114"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领导全市共青团、青联、学联和少先队工作，对全市性青少年社团组织进行指导和管理。</w:t>
      </w:r>
    </w:p>
    <w:p>
      <w:pPr>
        <w:widowControl/>
        <w:ind w:left="659" w:leftChars="314"/>
        <w:jc w:val="left"/>
        <w:rPr>
          <w:rFonts w:ascii="仿宋" w:hAnsi="仿宋" w:eastAsia="仿宋" w:cs="仿宋"/>
          <w:kern w:val="0"/>
          <w:sz w:val="32"/>
          <w:szCs w:val="32"/>
        </w:rPr>
      </w:pPr>
      <w:r>
        <w:rPr>
          <w:rFonts w:hint="eastAsia" w:ascii="仿宋" w:hAnsi="仿宋" w:eastAsia="仿宋" w:cs="仿宋"/>
          <w:kern w:val="0"/>
          <w:sz w:val="32"/>
          <w:szCs w:val="32"/>
        </w:rPr>
        <w:br w:type="textWrapping"/>
      </w:r>
      <w:r>
        <w:rPr>
          <w:rFonts w:hint="eastAsia" w:ascii="仿宋" w:hAnsi="仿宋" w:eastAsia="仿宋" w:cs="仿宋"/>
          <w:kern w:val="0"/>
          <w:sz w:val="32"/>
          <w:szCs w:val="32"/>
        </w:rPr>
        <w:t>　　（二）贯彻执行党的基本路线、方针和政策，组织实施市委、市政府和团省委部署的各项任务。</w:t>
      </w:r>
    </w:p>
    <w:p>
      <w:pPr>
        <w:widowControl/>
        <w:ind w:left="659" w:leftChars="314"/>
        <w:jc w:val="left"/>
        <w:rPr>
          <w:rFonts w:ascii="仿宋" w:hAnsi="仿宋" w:eastAsia="仿宋" w:cs="仿宋"/>
          <w:kern w:val="0"/>
          <w:sz w:val="32"/>
          <w:szCs w:val="32"/>
        </w:rPr>
      </w:pPr>
      <w:r>
        <w:rPr>
          <w:rFonts w:hint="eastAsia" w:ascii="仿宋" w:hAnsi="仿宋" w:eastAsia="仿宋" w:cs="仿宋"/>
          <w:kern w:val="0"/>
          <w:sz w:val="32"/>
          <w:szCs w:val="32"/>
        </w:rPr>
        <w:br w:type="textWrapping"/>
      </w:r>
      <w:r>
        <w:rPr>
          <w:rFonts w:hint="eastAsia" w:ascii="仿宋" w:hAnsi="仿宋" w:eastAsia="仿宋" w:cs="仿宋"/>
          <w:kern w:val="0"/>
          <w:sz w:val="32"/>
          <w:szCs w:val="32"/>
        </w:rPr>
        <w:t>　　（三）组织和带领广大团员青年积极投身改革开放和现代化建设，为景德镇经济和社会发展服务。</w:t>
      </w:r>
    </w:p>
    <w:p>
      <w:pPr>
        <w:widowControl/>
        <w:ind w:left="659" w:leftChars="314"/>
        <w:jc w:val="left"/>
        <w:rPr>
          <w:rFonts w:ascii="仿宋" w:hAnsi="仿宋" w:eastAsia="仿宋" w:cs="仿宋"/>
          <w:kern w:val="0"/>
          <w:sz w:val="32"/>
          <w:szCs w:val="32"/>
        </w:rPr>
      </w:pPr>
      <w:r>
        <w:rPr>
          <w:rFonts w:hint="eastAsia" w:ascii="仿宋" w:hAnsi="仿宋" w:eastAsia="仿宋" w:cs="仿宋"/>
          <w:kern w:val="0"/>
          <w:sz w:val="32"/>
          <w:szCs w:val="32"/>
        </w:rPr>
        <w:br w:type="textWrapping"/>
      </w:r>
      <w:r>
        <w:rPr>
          <w:rFonts w:hint="eastAsia" w:ascii="仿宋" w:hAnsi="仿宋" w:eastAsia="仿宋" w:cs="仿宋"/>
          <w:kern w:val="0"/>
          <w:sz w:val="32"/>
          <w:szCs w:val="32"/>
        </w:rPr>
        <w:t>　　（四）负责全市团组织建设，加强对全市团员队伍、团干部队伍建设和基层团组织建设的领导；向党组织推荐输送优秀青年干部和优秀团员。</w:t>
      </w:r>
    </w:p>
    <w:p>
      <w:pPr>
        <w:widowControl/>
        <w:ind w:left="659" w:leftChars="314"/>
        <w:jc w:val="left"/>
        <w:rPr>
          <w:rFonts w:ascii="仿宋" w:hAnsi="仿宋" w:eastAsia="仿宋" w:cs="仿宋"/>
          <w:kern w:val="0"/>
          <w:sz w:val="32"/>
          <w:szCs w:val="32"/>
        </w:rPr>
      </w:pPr>
      <w:r>
        <w:rPr>
          <w:rFonts w:hint="eastAsia" w:ascii="仿宋" w:hAnsi="仿宋" w:eastAsia="仿宋" w:cs="仿宋"/>
          <w:kern w:val="0"/>
          <w:sz w:val="32"/>
          <w:szCs w:val="32"/>
        </w:rPr>
        <w:br w:type="textWrapping"/>
      </w:r>
      <w:r>
        <w:rPr>
          <w:rFonts w:hint="eastAsia" w:ascii="仿宋" w:hAnsi="仿宋" w:eastAsia="仿宋" w:cs="仿宋"/>
          <w:kern w:val="0"/>
          <w:sz w:val="32"/>
          <w:szCs w:val="32"/>
        </w:rPr>
        <w:t>　　（五）调查青少年思想动态和青少年工作情况，研究青少年工作理论和思想教育，为市委、市政府决策青少年事务提供参考和依据。</w:t>
      </w:r>
    </w:p>
    <w:p>
      <w:pPr>
        <w:widowControl/>
        <w:ind w:left="659" w:leftChars="314"/>
        <w:jc w:val="left"/>
        <w:rPr>
          <w:rFonts w:ascii="仿宋" w:hAnsi="仿宋" w:eastAsia="仿宋" w:cs="仿宋"/>
          <w:kern w:val="0"/>
          <w:sz w:val="32"/>
          <w:szCs w:val="32"/>
        </w:rPr>
      </w:pPr>
      <w:r>
        <w:rPr>
          <w:rFonts w:hint="eastAsia" w:ascii="仿宋" w:hAnsi="仿宋" w:eastAsia="仿宋" w:cs="仿宋"/>
          <w:kern w:val="0"/>
          <w:sz w:val="32"/>
          <w:szCs w:val="32"/>
        </w:rPr>
        <w:br w:type="textWrapping"/>
      </w:r>
      <w:r>
        <w:rPr>
          <w:rFonts w:hint="eastAsia" w:ascii="仿宋" w:hAnsi="仿宋" w:eastAsia="仿宋" w:cs="仿宋"/>
          <w:kern w:val="0"/>
          <w:sz w:val="32"/>
          <w:szCs w:val="32"/>
        </w:rPr>
        <w:t>　　（六）关心青少年利益，保护青少年的合法权益，协助有关部门处理、协调与青少年利益相关的事务。</w:t>
      </w:r>
    </w:p>
    <w:p>
      <w:pPr>
        <w:widowControl/>
        <w:ind w:left="659" w:leftChars="314"/>
        <w:jc w:val="left"/>
        <w:rPr>
          <w:rFonts w:ascii="仿宋" w:hAnsi="仿宋" w:eastAsia="仿宋" w:cs="仿宋"/>
          <w:kern w:val="0"/>
          <w:sz w:val="32"/>
          <w:szCs w:val="32"/>
        </w:rPr>
      </w:pPr>
      <w:r>
        <w:rPr>
          <w:rFonts w:hint="eastAsia" w:ascii="仿宋" w:hAnsi="仿宋" w:eastAsia="仿宋" w:cs="仿宋"/>
          <w:kern w:val="0"/>
          <w:sz w:val="32"/>
          <w:szCs w:val="32"/>
        </w:rPr>
        <w:br w:type="textWrapping"/>
      </w:r>
      <w:r>
        <w:rPr>
          <w:rFonts w:hint="eastAsia" w:ascii="仿宋" w:hAnsi="仿宋" w:eastAsia="仿宋" w:cs="仿宋"/>
          <w:kern w:val="0"/>
          <w:sz w:val="32"/>
          <w:szCs w:val="32"/>
        </w:rPr>
        <w:t>　　（七）开展青年志愿者、希望工程、青年文明号创建等品牌活动，促进社会文明进步。</w:t>
      </w:r>
    </w:p>
    <w:p>
      <w:pPr>
        <w:widowControl/>
        <w:ind w:left="659" w:leftChars="314"/>
        <w:jc w:val="left"/>
        <w:rPr>
          <w:rFonts w:ascii="仿宋" w:hAnsi="仿宋" w:eastAsia="仿宋" w:cs="仿宋"/>
          <w:sz w:val="32"/>
          <w:szCs w:val="32"/>
        </w:rPr>
      </w:pPr>
      <w:r>
        <w:rPr>
          <w:rFonts w:hint="eastAsia" w:ascii="仿宋" w:hAnsi="仿宋" w:eastAsia="仿宋" w:cs="仿宋"/>
          <w:kern w:val="0"/>
          <w:sz w:val="32"/>
          <w:szCs w:val="32"/>
        </w:rPr>
        <w:br w:type="textWrapping"/>
      </w:r>
      <w:r>
        <w:rPr>
          <w:rFonts w:hint="eastAsia" w:ascii="仿宋" w:hAnsi="仿宋" w:eastAsia="仿宋" w:cs="仿宋"/>
          <w:kern w:val="0"/>
          <w:sz w:val="32"/>
          <w:szCs w:val="32"/>
        </w:rPr>
        <w:t>　　（八）完成市委、市政府和团省委交办的其他工作。</w:t>
      </w:r>
    </w:p>
    <w:p>
      <w:pPr>
        <w:widowControl/>
        <w:numPr>
          <w:ilvl w:val="0"/>
          <w:numId w:val="3"/>
        </w:numPr>
        <w:spacing w:line="660" w:lineRule="exact"/>
        <w:jc w:val="left"/>
        <w:rPr>
          <w:rFonts w:ascii="仿宋" w:hAnsi="仿宋" w:eastAsia="仿宋" w:cs="仿宋"/>
          <w:kern w:val="0"/>
          <w:sz w:val="32"/>
          <w:szCs w:val="32"/>
        </w:rPr>
      </w:pPr>
      <w:r>
        <w:rPr>
          <w:rFonts w:hint="eastAsia" w:ascii="仿宋" w:hAnsi="仿宋" w:eastAsia="仿宋" w:cs="仿宋"/>
          <w:kern w:val="0"/>
          <w:sz w:val="32"/>
          <w:szCs w:val="32"/>
        </w:rPr>
        <w:t>部门基本情况</w:t>
      </w:r>
    </w:p>
    <w:p>
      <w:pPr>
        <w:widowControl/>
        <w:spacing w:line="660" w:lineRule="exact"/>
        <w:ind w:left="960"/>
        <w:jc w:val="left"/>
        <w:rPr>
          <w:rFonts w:ascii="仿宋" w:hAnsi="仿宋" w:eastAsia="仿宋" w:cs="仿宋"/>
          <w:kern w:val="0"/>
          <w:sz w:val="32"/>
          <w:szCs w:val="32"/>
        </w:rPr>
      </w:pPr>
    </w:p>
    <w:p>
      <w:pPr>
        <w:widowControl/>
        <w:ind w:left="239" w:leftChars="114"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2021年度，纳入本部门决算汇编范围的独立核算单位共2个，</w:t>
      </w:r>
    </w:p>
    <w:p>
      <w:pPr>
        <w:widowControl/>
        <w:jc w:val="left"/>
        <w:rPr>
          <w:rFonts w:ascii="仿宋" w:hAnsi="仿宋" w:eastAsia="仿宋" w:cs="仿宋"/>
          <w:kern w:val="0"/>
          <w:sz w:val="32"/>
          <w:szCs w:val="32"/>
        </w:rPr>
      </w:pPr>
      <w:r>
        <w:rPr>
          <w:rFonts w:hint="eastAsia" w:ascii="仿宋" w:hAnsi="仿宋" w:eastAsia="仿宋" w:cs="仿宋"/>
          <w:kern w:val="0"/>
          <w:sz w:val="32"/>
          <w:szCs w:val="32"/>
        </w:rPr>
        <w:t>包括：共青团景德镇市委员会和景德镇市青少年宫。</w:t>
      </w:r>
    </w:p>
    <w:p>
      <w:pPr>
        <w:widowControl/>
        <w:jc w:val="left"/>
        <w:rPr>
          <w:rFonts w:ascii="仿宋" w:hAnsi="仿宋" w:eastAsia="仿宋" w:cs="仿宋"/>
          <w:kern w:val="0"/>
          <w:sz w:val="32"/>
          <w:szCs w:val="32"/>
        </w:rPr>
      </w:pPr>
    </w:p>
    <w:p>
      <w:pPr>
        <w:widowControl/>
        <w:ind w:left="239" w:leftChars="114" w:firstLine="600" w:firstLineChars="200"/>
        <w:jc w:val="left"/>
        <w:rPr>
          <w:rFonts w:ascii="仿宋" w:hAnsi="仿宋" w:eastAsia="仿宋" w:cs="仿宋"/>
          <w:kern w:val="0"/>
          <w:sz w:val="32"/>
          <w:szCs w:val="32"/>
        </w:rPr>
      </w:pPr>
      <w:r>
        <w:rPr>
          <w:rFonts w:hint="eastAsia" w:ascii="仿宋_GB2312" w:hAnsi="仿宋_GB2312" w:eastAsia="仿宋_GB2312"/>
          <w:sz w:val="30"/>
          <w:szCs w:val="30"/>
        </w:rPr>
        <w:t>本部门2021年年末实有人数44人</w:t>
      </w:r>
      <w:r>
        <w:rPr>
          <w:rFonts w:hint="eastAsia" w:ascii="仿宋" w:hAnsi="仿宋" w:eastAsia="仿宋" w:cs="仿宋"/>
          <w:kern w:val="0"/>
          <w:sz w:val="32"/>
          <w:szCs w:val="32"/>
        </w:rPr>
        <w:t>。其中在职33人，包括行政9</w:t>
      </w:r>
    </w:p>
    <w:p>
      <w:pPr>
        <w:widowControl/>
        <w:jc w:val="left"/>
        <w:rPr>
          <w:rFonts w:ascii="仿宋" w:hAnsi="仿宋" w:eastAsia="仿宋" w:cs="仿宋"/>
          <w:sz w:val="32"/>
          <w:szCs w:val="32"/>
        </w:rPr>
      </w:pPr>
      <w:r>
        <w:rPr>
          <w:rFonts w:hint="eastAsia" w:ascii="仿宋" w:hAnsi="仿宋" w:eastAsia="仿宋" w:cs="仿宋"/>
          <w:kern w:val="0"/>
          <w:sz w:val="32"/>
          <w:szCs w:val="32"/>
        </w:rPr>
        <w:t>人、全部补助24人；</w:t>
      </w:r>
      <w:r>
        <w:rPr>
          <w:rFonts w:hint="eastAsia" w:ascii="仿宋_GB2312" w:hAnsi="仿宋_GB2312" w:eastAsia="仿宋_GB2312"/>
          <w:sz w:val="30"/>
          <w:szCs w:val="30"/>
        </w:rPr>
        <w:t>养老保险基金发放养老金的离退休人员</w:t>
      </w:r>
      <w:r>
        <w:rPr>
          <w:rFonts w:hint="eastAsia" w:ascii="仿宋" w:hAnsi="仿宋" w:eastAsia="仿宋" w:cs="仿宋"/>
          <w:kern w:val="0"/>
          <w:sz w:val="32"/>
          <w:szCs w:val="32"/>
        </w:rPr>
        <w:t>11人。</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w:t>
      </w:r>
    </w:p>
    <w:p>
      <w:pPr>
        <w:widowControl/>
        <w:spacing w:line="660" w:lineRule="exact"/>
        <w:jc w:val="left"/>
        <w:rPr>
          <w:rFonts w:ascii="仿宋" w:hAnsi="仿宋" w:eastAsia="仿宋" w:cs="仿宋"/>
          <w:sz w:val="32"/>
          <w:szCs w:val="32"/>
        </w:rPr>
      </w:pPr>
      <w:r>
        <w:rPr>
          <w:rFonts w:hint="eastAsia" w:ascii="仿宋" w:hAnsi="仿宋" w:eastAsia="仿宋" w:cs="仿宋"/>
          <w:sz w:val="32"/>
          <w:szCs w:val="32"/>
        </w:rPr>
        <w:t>　</w:t>
      </w:r>
    </w:p>
    <w:p>
      <w:pPr>
        <w:widowControl/>
        <w:spacing w:line="660" w:lineRule="exact"/>
        <w:jc w:val="left"/>
        <w:rPr>
          <w:rFonts w:ascii="仿宋" w:hAnsi="仿宋" w:eastAsia="仿宋" w:cs="仿宋"/>
          <w:sz w:val="32"/>
          <w:szCs w:val="32"/>
        </w:rPr>
      </w:pPr>
    </w:p>
    <w:p>
      <w:pPr>
        <w:widowControl/>
        <w:spacing w:line="660" w:lineRule="exact"/>
        <w:jc w:val="left"/>
        <w:rPr>
          <w:rFonts w:ascii="仿宋" w:hAnsi="仿宋" w:eastAsia="仿宋" w:cs="仿宋"/>
          <w:sz w:val="32"/>
          <w:szCs w:val="32"/>
        </w:rPr>
      </w:pPr>
    </w:p>
    <w:p>
      <w:pPr>
        <w:widowControl/>
        <w:spacing w:line="660" w:lineRule="exact"/>
        <w:jc w:val="left"/>
        <w:rPr>
          <w:rFonts w:ascii="仿宋" w:hAnsi="仿宋" w:eastAsia="仿宋" w:cs="仿宋"/>
          <w:sz w:val="32"/>
          <w:szCs w:val="32"/>
        </w:rPr>
      </w:pPr>
    </w:p>
    <w:p>
      <w:pPr>
        <w:widowControl/>
        <w:spacing w:line="660" w:lineRule="exact"/>
        <w:jc w:val="left"/>
        <w:rPr>
          <w:rFonts w:ascii="仿宋" w:hAnsi="仿宋" w:eastAsia="仿宋" w:cs="仿宋"/>
          <w:sz w:val="32"/>
          <w:szCs w:val="32"/>
        </w:rPr>
      </w:pPr>
    </w:p>
    <w:p>
      <w:pPr>
        <w:widowControl/>
        <w:spacing w:line="660" w:lineRule="exact"/>
        <w:jc w:val="left"/>
        <w:rPr>
          <w:rFonts w:ascii="仿宋" w:hAnsi="仿宋" w:eastAsia="仿宋" w:cs="仿宋"/>
          <w:sz w:val="32"/>
          <w:szCs w:val="32"/>
        </w:rPr>
      </w:pPr>
    </w:p>
    <w:p>
      <w:pPr>
        <w:widowControl/>
        <w:spacing w:line="660" w:lineRule="exact"/>
        <w:jc w:val="left"/>
        <w:rPr>
          <w:rFonts w:ascii="仿宋" w:hAnsi="仿宋" w:eastAsia="仿宋" w:cs="仿宋"/>
          <w:sz w:val="32"/>
          <w:szCs w:val="32"/>
        </w:rPr>
      </w:pPr>
    </w:p>
    <w:p>
      <w:pPr>
        <w:widowControl/>
        <w:spacing w:line="660" w:lineRule="exact"/>
        <w:jc w:val="left"/>
        <w:rPr>
          <w:rFonts w:ascii="仿宋" w:hAnsi="仿宋" w:eastAsia="仿宋" w:cs="仿宋"/>
          <w:sz w:val="32"/>
          <w:szCs w:val="32"/>
        </w:rPr>
      </w:pPr>
    </w:p>
    <w:p>
      <w:pPr>
        <w:widowControl/>
        <w:spacing w:line="660" w:lineRule="exact"/>
        <w:ind w:firstLine="2891" w:firstLineChars="800"/>
        <w:jc w:val="left"/>
        <w:rPr>
          <w:rFonts w:ascii="仿宋" w:hAnsi="仿宋" w:eastAsia="仿宋" w:cs="仿宋"/>
          <w:b/>
          <w:sz w:val="32"/>
          <w:szCs w:val="32"/>
        </w:rPr>
      </w:pPr>
      <w:r>
        <w:rPr>
          <w:rFonts w:hint="eastAsia" w:ascii="仿宋" w:hAnsi="仿宋" w:eastAsia="仿宋" w:cs="仿宋"/>
          <w:b/>
          <w:sz w:val="36"/>
          <w:szCs w:val="36"/>
        </w:rPr>
        <w:t>第二部分  2021年度部门决算表</w:t>
      </w:r>
    </w:p>
    <w:p>
      <w:pPr>
        <w:widowControl/>
        <w:spacing w:line="660" w:lineRule="exact"/>
        <w:rPr>
          <w:rFonts w:ascii="仿宋" w:hAnsi="仿宋" w:eastAsia="仿宋" w:cs="仿宋"/>
          <w:sz w:val="32"/>
          <w:szCs w:val="32"/>
        </w:rPr>
      </w:pPr>
    </w:p>
    <w:p>
      <w:pPr>
        <w:widowControl/>
        <w:spacing w:line="600" w:lineRule="exact"/>
        <w:ind w:firstLine="640"/>
        <w:jc w:val="center"/>
        <w:rPr>
          <w:rFonts w:ascii="仿宋" w:hAnsi="仿宋" w:eastAsia="仿宋" w:cs="仿宋"/>
          <w:b/>
          <w:sz w:val="32"/>
          <w:szCs w:val="32"/>
        </w:rPr>
      </w:pPr>
    </w:p>
    <w:p>
      <w:pPr>
        <w:autoSpaceDE w:val="0"/>
        <w:autoSpaceDN w:val="0"/>
        <w:adjustRightInd w:val="0"/>
        <w:spacing w:line="360" w:lineRule="auto"/>
        <w:jc w:val="left"/>
        <w:rPr>
          <w:rFonts w:ascii="仿宋" w:hAnsi="仿宋" w:eastAsia="仿宋" w:cs="仿宋"/>
          <w:szCs w:val="30"/>
        </w:rPr>
      </w:pPr>
    </w:p>
    <w:p>
      <w:pPr>
        <w:autoSpaceDE w:val="0"/>
        <w:autoSpaceDN w:val="0"/>
        <w:adjustRightInd w:val="0"/>
        <w:spacing w:line="360" w:lineRule="auto"/>
        <w:jc w:val="left"/>
        <w:rPr>
          <w:rFonts w:ascii="仿宋" w:hAnsi="仿宋" w:eastAsia="仿宋" w:cs="仿宋"/>
          <w:szCs w:val="30"/>
        </w:rPr>
      </w:pPr>
      <w:r>
        <w:rPr>
          <w:rFonts w:hint="eastAsia" w:ascii="仿宋" w:hAnsi="仿宋" w:eastAsia="仿宋" w:cs="仿宋"/>
          <w:szCs w:val="30"/>
        </w:rPr>
        <w:drawing>
          <wp:inline distT="0" distB="0" distL="114300" distR="114300">
            <wp:extent cx="6080125" cy="6110605"/>
            <wp:effectExtent l="0" t="0" r="15875" b="4445"/>
            <wp:docPr id="8" name="图片 8" descr="1665111428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65111428844"/>
                    <pic:cNvPicPr>
                      <a:picLocks noChangeAspect="1"/>
                    </pic:cNvPicPr>
                  </pic:nvPicPr>
                  <pic:blipFill>
                    <a:blip r:embed="rId6"/>
                    <a:stretch>
                      <a:fillRect/>
                    </a:stretch>
                  </pic:blipFill>
                  <pic:spPr>
                    <a:xfrm>
                      <a:off x="0" y="0"/>
                      <a:ext cx="6080125" cy="6110605"/>
                    </a:xfrm>
                    <a:prstGeom prst="rect">
                      <a:avLst/>
                    </a:prstGeom>
                  </pic:spPr>
                </pic:pic>
              </a:graphicData>
            </a:graphic>
          </wp:inline>
        </w:drawing>
      </w:r>
    </w:p>
    <w:p>
      <w:pPr>
        <w:autoSpaceDE w:val="0"/>
        <w:autoSpaceDN w:val="0"/>
        <w:adjustRightInd w:val="0"/>
        <w:spacing w:line="360" w:lineRule="auto"/>
        <w:jc w:val="left"/>
        <w:rPr>
          <w:rFonts w:ascii="仿宋" w:hAnsi="仿宋" w:eastAsia="仿宋" w:cs="仿宋"/>
          <w:kern w:val="0"/>
          <w:sz w:val="30"/>
          <w:szCs w:val="30"/>
        </w:rPr>
      </w:pPr>
    </w:p>
    <w:p>
      <w:pPr>
        <w:autoSpaceDE w:val="0"/>
        <w:autoSpaceDN w:val="0"/>
        <w:adjustRightInd w:val="0"/>
        <w:spacing w:line="360" w:lineRule="auto"/>
        <w:jc w:val="left"/>
        <w:rPr>
          <w:rFonts w:ascii="仿宋" w:hAnsi="仿宋" w:eastAsia="仿宋" w:cs="仿宋"/>
        </w:rPr>
      </w:pPr>
    </w:p>
    <w:p>
      <w:pPr>
        <w:autoSpaceDE w:val="0"/>
        <w:autoSpaceDN w:val="0"/>
        <w:adjustRightInd w:val="0"/>
        <w:spacing w:line="360" w:lineRule="auto"/>
        <w:jc w:val="left"/>
        <w:rPr>
          <w:rFonts w:ascii="仿宋" w:hAnsi="仿宋" w:eastAsia="仿宋" w:cs="仿宋"/>
        </w:rPr>
      </w:pPr>
      <w:r>
        <w:rPr>
          <w:rFonts w:hint="eastAsia" w:ascii="仿宋" w:hAnsi="仿宋" w:eastAsia="仿宋" w:cs="仿宋"/>
        </w:rPr>
        <w:drawing>
          <wp:inline distT="0" distB="0" distL="114300" distR="114300">
            <wp:extent cx="6071235" cy="3116580"/>
            <wp:effectExtent l="0" t="0" r="5715" b="7620"/>
            <wp:docPr id="10" name="图片 10" descr="166511148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65111480417"/>
                    <pic:cNvPicPr>
                      <a:picLocks noChangeAspect="1"/>
                    </pic:cNvPicPr>
                  </pic:nvPicPr>
                  <pic:blipFill>
                    <a:blip r:embed="rId7"/>
                    <a:stretch>
                      <a:fillRect/>
                    </a:stretch>
                  </pic:blipFill>
                  <pic:spPr>
                    <a:xfrm>
                      <a:off x="0" y="0"/>
                      <a:ext cx="6071235" cy="3116580"/>
                    </a:xfrm>
                    <a:prstGeom prst="rect">
                      <a:avLst/>
                    </a:prstGeom>
                  </pic:spPr>
                </pic:pic>
              </a:graphicData>
            </a:graphic>
          </wp:inline>
        </w:drawing>
      </w:r>
    </w:p>
    <w:p>
      <w:pPr>
        <w:autoSpaceDE w:val="0"/>
        <w:autoSpaceDN w:val="0"/>
        <w:adjustRightInd w:val="0"/>
        <w:spacing w:line="360" w:lineRule="auto"/>
        <w:jc w:val="left"/>
        <w:rPr>
          <w:rFonts w:ascii="仿宋" w:hAnsi="仿宋" w:eastAsia="仿宋" w:cs="仿宋"/>
        </w:rPr>
      </w:pPr>
    </w:p>
    <w:p>
      <w:pPr>
        <w:autoSpaceDE w:val="0"/>
        <w:autoSpaceDN w:val="0"/>
        <w:adjustRightInd w:val="0"/>
        <w:spacing w:line="360" w:lineRule="auto"/>
        <w:jc w:val="left"/>
        <w:rPr>
          <w:rFonts w:ascii="仿宋" w:hAnsi="仿宋" w:eastAsia="仿宋" w:cs="仿宋"/>
        </w:rPr>
      </w:pPr>
    </w:p>
    <w:p>
      <w:pPr>
        <w:autoSpaceDE w:val="0"/>
        <w:autoSpaceDN w:val="0"/>
        <w:adjustRightInd w:val="0"/>
        <w:spacing w:line="360" w:lineRule="auto"/>
        <w:jc w:val="left"/>
        <w:rPr>
          <w:rFonts w:ascii="仿宋" w:hAnsi="仿宋" w:eastAsia="仿宋" w:cs="仿宋"/>
        </w:rPr>
      </w:pPr>
    </w:p>
    <w:p>
      <w:pPr>
        <w:autoSpaceDE w:val="0"/>
        <w:autoSpaceDN w:val="0"/>
        <w:adjustRightInd w:val="0"/>
        <w:spacing w:line="360" w:lineRule="auto"/>
        <w:jc w:val="left"/>
        <w:rPr>
          <w:rFonts w:ascii="仿宋" w:hAnsi="仿宋" w:eastAsia="仿宋" w:cs="仿宋"/>
        </w:rPr>
      </w:pPr>
      <w:r>
        <w:rPr>
          <w:rFonts w:hint="eastAsia" w:ascii="仿宋" w:hAnsi="仿宋" w:eastAsia="仿宋" w:cs="仿宋"/>
        </w:rPr>
        <w:drawing>
          <wp:inline distT="0" distB="0" distL="114300" distR="114300">
            <wp:extent cx="6082030" cy="4243705"/>
            <wp:effectExtent l="0" t="0" r="13970" b="4445"/>
            <wp:docPr id="11" name="图片 11" descr="1665111509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65111509292"/>
                    <pic:cNvPicPr>
                      <a:picLocks noChangeAspect="1"/>
                    </pic:cNvPicPr>
                  </pic:nvPicPr>
                  <pic:blipFill>
                    <a:blip r:embed="rId8"/>
                    <a:stretch>
                      <a:fillRect/>
                    </a:stretch>
                  </pic:blipFill>
                  <pic:spPr>
                    <a:xfrm>
                      <a:off x="0" y="0"/>
                      <a:ext cx="6082030" cy="4243705"/>
                    </a:xfrm>
                    <a:prstGeom prst="rect">
                      <a:avLst/>
                    </a:prstGeom>
                  </pic:spPr>
                </pic:pic>
              </a:graphicData>
            </a:graphic>
          </wp:inline>
        </w:drawing>
      </w:r>
    </w:p>
    <w:p>
      <w:pPr>
        <w:autoSpaceDE w:val="0"/>
        <w:autoSpaceDN w:val="0"/>
        <w:adjustRightInd w:val="0"/>
        <w:spacing w:line="360" w:lineRule="auto"/>
        <w:jc w:val="left"/>
        <w:rPr>
          <w:rFonts w:ascii="仿宋" w:hAnsi="仿宋" w:eastAsia="仿宋" w:cs="仿宋"/>
          <w:kern w:val="0"/>
          <w:sz w:val="30"/>
          <w:szCs w:val="30"/>
        </w:rPr>
      </w:pPr>
    </w:p>
    <w:p>
      <w:pPr>
        <w:autoSpaceDE w:val="0"/>
        <w:autoSpaceDN w:val="0"/>
        <w:adjustRightInd w:val="0"/>
        <w:spacing w:line="360" w:lineRule="auto"/>
        <w:jc w:val="left"/>
        <w:rPr>
          <w:rFonts w:ascii="仿宋" w:hAnsi="仿宋" w:eastAsia="仿宋" w:cs="仿宋"/>
          <w:szCs w:val="30"/>
        </w:rPr>
      </w:pPr>
      <w:r>
        <w:rPr>
          <w:rFonts w:hint="eastAsia" w:ascii="仿宋" w:hAnsi="仿宋" w:eastAsia="仿宋" w:cs="仿宋"/>
          <w:szCs w:val="30"/>
        </w:rPr>
        <w:drawing>
          <wp:inline distT="0" distB="0" distL="114300" distR="114300">
            <wp:extent cx="6081395" cy="4445000"/>
            <wp:effectExtent l="0" t="0" r="14605" b="12700"/>
            <wp:docPr id="12" name="图片 12" descr="1665111538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65111538889"/>
                    <pic:cNvPicPr>
                      <a:picLocks noChangeAspect="1"/>
                    </pic:cNvPicPr>
                  </pic:nvPicPr>
                  <pic:blipFill>
                    <a:blip r:embed="rId9"/>
                    <a:stretch>
                      <a:fillRect/>
                    </a:stretch>
                  </pic:blipFill>
                  <pic:spPr>
                    <a:xfrm>
                      <a:off x="0" y="0"/>
                      <a:ext cx="6081395" cy="4445000"/>
                    </a:xfrm>
                    <a:prstGeom prst="rect">
                      <a:avLst/>
                    </a:prstGeom>
                  </pic:spPr>
                </pic:pic>
              </a:graphicData>
            </a:graphic>
          </wp:inline>
        </w:drawing>
      </w:r>
    </w:p>
    <w:p>
      <w:pPr>
        <w:autoSpaceDE w:val="0"/>
        <w:autoSpaceDN w:val="0"/>
        <w:adjustRightInd w:val="0"/>
        <w:spacing w:line="360" w:lineRule="auto"/>
        <w:jc w:val="left"/>
        <w:rPr>
          <w:rFonts w:ascii="仿宋" w:hAnsi="仿宋" w:eastAsia="仿宋" w:cs="仿宋"/>
          <w:szCs w:val="30"/>
        </w:rPr>
      </w:pPr>
    </w:p>
    <w:p>
      <w:pPr>
        <w:autoSpaceDE w:val="0"/>
        <w:autoSpaceDN w:val="0"/>
        <w:adjustRightInd w:val="0"/>
        <w:spacing w:line="360" w:lineRule="auto"/>
        <w:jc w:val="left"/>
        <w:rPr>
          <w:rFonts w:ascii="仿宋" w:hAnsi="仿宋" w:eastAsia="仿宋" w:cs="仿宋"/>
          <w:kern w:val="0"/>
          <w:sz w:val="30"/>
          <w:szCs w:val="30"/>
        </w:rPr>
      </w:pPr>
      <w:r>
        <w:rPr>
          <w:rFonts w:hint="eastAsia" w:ascii="仿宋" w:hAnsi="仿宋" w:eastAsia="仿宋" w:cs="仿宋"/>
          <w:kern w:val="0"/>
          <w:sz w:val="30"/>
          <w:szCs w:val="30"/>
        </w:rPr>
        <w:drawing>
          <wp:inline distT="0" distB="0" distL="114300" distR="114300">
            <wp:extent cx="6078220" cy="5819140"/>
            <wp:effectExtent l="0" t="0" r="17780" b="10160"/>
            <wp:docPr id="13" name="图片 13" descr="166511157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65111572561"/>
                    <pic:cNvPicPr>
                      <a:picLocks noChangeAspect="1"/>
                    </pic:cNvPicPr>
                  </pic:nvPicPr>
                  <pic:blipFill>
                    <a:blip r:embed="rId10"/>
                    <a:stretch>
                      <a:fillRect/>
                    </a:stretch>
                  </pic:blipFill>
                  <pic:spPr>
                    <a:xfrm>
                      <a:off x="0" y="0"/>
                      <a:ext cx="6078220" cy="5819140"/>
                    </a:xfrm>
                    <a:prstGeom prst="rect">
                      <a:avLst/>
                    </a:prstGeom>
                  </pic:spPr>
                </pic:pic>
              </a:graphicData>
            </a:graphic>
          </wp:inline>
        </w:drawing>
      </w:r>
    </w:p>
    <w:p>
      <w:pPr>
        <w:autoSpaceDE w:val="0"/>
        <w:autoSpaceDN w:val="0"/>
        <w:adjustRightInd w:val="0"/>
        <w:spacing w:line="360" w:lineRule="auto"/>
        <w:jc w:val="left"/>
        <w:rPr>
          <w:rFonts w:ascii="仿宋" w:hAnsi="仿宋" w:eastAsia="仿宋" w:cs="仿宋"/>
          <w:kern w:val="0"/>
          <w:sz w:val="30"/>
          <w:szCs w:val="30"/>
        </w:rPr>
      </w:pPr>
    </w:p>
    <w:p>
      <w:pPr>
        <w:autoSpaceDE w:val="0"/>
        <w:autoSpaceDN w:val="0"/>
        <w:adjustRightInd w:val="0"/>
        <w:spacing w:line="360" w:lineRule="auto"/>
        <w:jc w:val="left"/>
        <w:rPr>
          <w:rFonts w:ascii="仿宋" w:hAnsi="仿宋" w:eastAsia="仿宋" w:cs="仿宋"/>
          <w:szCs w:val="30"/>
        </w:rPr>
      </w:pPr>
      <w:r>
        <w:rPr>
          <w:rFonts w:hint="eastAsia" w:ascii="仿宋" w:hAnsi="仿宋" w:eastAsia="仿宋" w:cs="仿宋"/>
          <w:szCs w:val="30"/>
        </w:rPr>
        <w:drawing>
          <wp:inline distT="0" distB="0" distL="114300" distR="114300">
            <wp:extent cx="5985510" cy="9294495"/>
            <wp:effectExtent l="0" t="0" r="15240" b="1905"/>
            <wp:docPr id="14" name="图片 14" descr="1665111613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65111613575"/>
                    <pic:cNvPicPr>
                      <a:picLocks noChangeAspect="1"/>
                    </pic:cNvPicPr>
                  </pic:nvPicPr>
                  <pic:blipFill>
                    <a:blip r:embed="rId11"/>
                    <a:stretch>
                      <a:fillRect/>
                    </a:stretch>
                  </pic:blipFill>
                  <pic:spPr>
                    <a:xfrm>
                      <a:off x="0" y="0"/>
                      <a:ext cx="5985510" cy="9294495"/>
                    </a:xfrm>
                    <a:prstGeom prst="rect">
                      <a:avLst/>
                    </a:prstGeom>
                  </pic:spPr>
                </pic:pic>
              </a:graphicData>
            </a:graphic>
          </wp:inline>
        </w:drawing>
      </w:r>
    </w:p>
    <w:p>
      <w:pPr>
        <w:autoSpaceDE w:val="0"/>
        <w:autoSpaceDN w:val="0"/>
        <w:adjustRightInd w:val="0"/>
        <w:spacing w:line="360" w:lineRule="auto"/>
        <w:jc w:val="left"/>
        <w:rPr>
          <w:rFonts w:ascii="仿宋" w:hAnsi="仿宋" w:eastAsia="仿宋" w:cs="仿宋"/>
          <w:szCs w:val="30"/>
        </w:rPr>
      </w:pPr>
    </w:p>
    <w:p>
      <w:pPr>
        <w:autoSpaceDE w:val="0"/>
        <w:autoSpaceDN w:val="0"/>
        <w:adjustRightInd w:val="0"/>
        <w:spacing w:line="360" w:lineRule="auto"/>
        <w:jc w:val="left"/>
        <w:rPr>
          <w:rFonts w:ascii="仿宋" w:hAnsi="仿宋" w:eastAsia="仿宋" w:cs="仿宋"/>
          <w:szCs w:val="30"/>
        </w:rPr>
      </w:pPr>
      <w:r>
        <w:rPr>
          <w:rFonts w:hint="eastAsia" w:ascii="仿宋" w:hAnsi="仿宋" w:eastAsia="仿宋" w:cs="仿宋"/>
          <w:szCs w:val="30"/>
        </w:rPr>
        <w:drawing>
          <wp:inline distT="0" distB="0" distL="114300" distR="114300">
            <wp:extent cx="5391150" cy="5286375"/>
            <wp:effectExtent l="0" t="0" r="0" b="9525"/>
            <wp:docPr id="15" name="图片 15" descr="1665111654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65111654528"/>
                    <pic:cNvPicPr>
                      <a:picLocks noChangeAspect="1"/>
                    </pic:cNvPicPr>
                  </pic:nvPicPr>
                  <pic:blipFill>
                    <a:blip r:embed="rId12"/>
                    <a:stretch>
                      <a:fillRect/>
                    </a:stretch>
                  </pic:blipFill>
                  <pic:spPr>
                    <a:xfrm>
                      <a:off x="0" y="0"/>
                      <a:ext cx="5391150" cy="5286375"/>
                    </a:xfrm>
                    <a:prstGeom prst="rect">
                      <a:avLst/>
                    </a:prstGeom>
                  </pic:spPr>
                </pic:pic>
              </a:graphicData>
            </a:graphic>
          </wp:inline>
        </w:drawing>
      </w:r>
    </w:p>
    <w:p>
      <w:pPr>
        <w:autoSpaceDE w:val="0"/>
        <w:autoSpaceDN w:val="0"/>
        <w:adjustRightInd w:val="0"/>
        <w:spacing w:line="360" w:lineRule="auto"/>
        <w:jc w:val="left"/>
        <w:rPr>
          <w:rFonts w:ascii="仿宋" w:hAnsi="仿宋" w:eastAsia="仿宋" w:cs="仿宋"/>
          <w:szCs w:val="30"/>
        </w:rPr>
      </w:pPr>
    </w:p>
    <w:p>
      <w:pPr>
        <w:autoSpaceDE w:val="0"/>
        <w:autoSpaceDN w:val="0"/>
        <w:adjustRightInd w:val="0"/>
        <w:spacing w:line="360" w:lineRule="auto"/>
        <w:jc w:val="left"/>
        <w:rPr>
          <w:rFonts w:ascii="仿宋" w:hAnsi="仿宋" w:eastAsia="仿宋" w:cs="仿宋"/>
          <w:szCs w:val="30"/>
        </w:rPr>
      </w:pPr>
    </w:p>
    <w:p>
      <w:pPr>
        <w:autoSpaceDE w:val="0"/>
        <w:autoSpaceDN w:val="0"/>
        <w:adjustRightInd w:val="0"/>
        <w:spacing w:line="360" w:lineRule="auto"/>
        <w:jc w:val="left"/>
        <w:rPr>
          <w:rFonts w:ascii="仿宋" w:hAnsi="仿宋" w:eastAsia="仿宋" w:cs="仿宋"/>
          <w:szCs w:val="30"/>
        </w:rPr>
      </w:pPr>
      <w:r>
        <w:rPr>
          <w:rFonts w:hint="eastAsia" w:ascii="仿宋" w:hAnsi="仿宋" w:eastAsia="仿宋" w:cs="仿宋"/>
          <w:szCs w:val="30"/>
        </w:rPr>
        <w:drawing>
          <wp:inline distT="0" distB="0" distL="114300" distR="114300">
            <wp:extent cx="6076315" cy="2350135"/>
            <wp:effectExtent l="0" t="0" r="635" b="12065"/>
            <wp:docPr id="16" name="图片 16" descr="1665111686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65111686226"/>
                    <pic:cNvPicPr>
                      <a:picLocks noChangeAspect="1"/>
                    </pic:cNvPicPr>
                  </pic:nvPicPr>
                  <pic:blipFill>
                    <a:blip r:embed="rId13"/>
                    <a:stretch>
                      <a:fillRect/>
                    </a:stretch>
                  </pic:blipFill>
                  <pic:spPr>
                    <a:xfrm>
                      <a:off x="0" y="0"/>
                      <a:ext cx="6076315" cy="2350135"/>
                    </a:xfrm>
                    <a:prstGeom prst="rect">
                      <a:avLst/>
                    </a:prstGeom>
                  </pic:spPr>
                </pic:pic>
              </a:graphicData>
            </a:graphic>
          </wp:inline>
        </w:drawing>
      </w:r>
    </w:p>
    <w:p>
      <w:pPr>
        <w:autoSpaceDE w:val="0"/>
        <w:autoSpaceDN w:val="0"/>
        <w:adjustRightInd w:val="0"/>
        <w:spacing w:line="360" w:lineRule="auto"/>
        <w:jc w:val="left"/>
        <w:rPr>
          <w:rFonts w:ascii="仿宋" w:hAnsi="仿宋" w:eastAsia="仿宋" w:cs="仿宋"/>
          <w:szCs w:val="30"/>
        </w:rPr>
      </w:pPr>
    </w:p>
    <w:p>
      <w:pPr>
        <w:autoSpaceDE w:val="0"/>
        <w:autoSpaceDN w:val="0"/>
        <w:adjustRightInd w:val="0"/>
        <w:spacing w:line="360" w:lineRule="auto"/>
        <w:jc w:val="left"/>
        <w:rPr>
          <w:rFonts w:ascii="仿宋" w:hAnsi="仿宋" w:eastAsia="仿宋" w:cs="仿宋"/>
          <w:szCs w:val="30"/>
        </w:rPr>
      </w:pPr>
    </w:p>
    <w:p>
      <w:pPr>
        <w:autoSpaceDE w:val="0"/>
        <w:autoSpaceDN w:val="0"/>
        <w:adjustRightInd w:val="0"/>
        <w:spacing w:line="360" w:lineRule="auto"/>
        <w:jc w:val="left"/>
        <w:rPr>
          <w:rFonts w:ascii="仿宋" w:hAnsi="仿宋" w:eastAsia="仿宋" w:cs="仿宋"/>
          <w:szCs w:val="30"/>
        </w:rPr>
      </w:pPr>
    </w:p>
    <w:p>
      <w:pPr>
        <w:autoSpaceDE w:val="0"/>
        <w:autoSpaceDN w:val="0"/>
        <w:adjustRightInd w:val="0"/>
        <w:spacing w:line="360" w:lineRule="auto"/>
        <w:jc w:val="left"/>
        <w:rPr>
          <w:rFonts w:ascii="仿宋" w:hAnsi="仿宋" w:eastAsia="仿宋" w:cs="仿宋"/>
          <w:szCs w:val="30"/>
        </w:rPr>
      </w:pPr>
    </w:p>
    <w:p>
      <w:pPr>
        <w:autoSpaceDE w:val="0"/>
        <w:autoSpaceDN w:val="0"/>
        <w:adjustRightInd w:val="0"/>
        <w:spacing w:line="360" w:lineRule="auto"/>
        <w:jc w:val="left"/>
        <w:rPr>
          <w:rFonts w:ascii="仿宋" w:hAnsi="仿宋" w:eastAsia="仿宋" w:cs="仿宋"/>
          <w:szCs w:val="30"/>
        </w:rPr>
      </w:pPr>
      <w:r>
        <w:rPr>
          <w:rFonts w:hint="eastAsia" w:ascii="仿宋" w:hAnsi="仿宋" w:eastAsia="仿宋" w:cs="仿宋"/>
          <w:szCs w:val="30"/>
        </w:rPr>
        <w:drawing>
          <wp:inline distT="0" distB="0" distL="114300" distR="114300">
            <wp:extent cx="6082030" cy="3171825"/>
            <wp:effectExtent l="0" t="0" r="13970" b="9525"/>
            <wp:docPr id="31" name="图片 31" descr="1663502559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1663502559815"/>
                    <pic:cNvPicPr>
                      <a:picLocks noChangeAspect="1"/>
                    </pic:cNvPicPr>
                  </pic:nvPicPr>
                  <pic:blipFill>
                    <a:blip r:embed="rId14"/>
                    <a:stretch>
                      <a:fillRect/>
                    </a:stretch>
                  </pic:blipFill>
                  <pic:spPr>
                    <a:xfrm>
                      <a:off x="0" y="0"/>
                      <a:ext cx="6082030" cy="3171825"/>
                    </a:xfrm>
                    <a:prstGeom prst="rect">
                      <a:avLst/>
                    </a:prstGeom>
                  </pic:spPr>
                </pic:pic>
              </a:graphicData>
            </a:graphic>
          </wp:inline>
        </w:drawing>
      </w:r>
    </w:p>
    <w:p>
      <w:pPr>
        <w:autoSpaceDE w:val="0"/>
        <w:autoSpaceDN w:val="0"/>
        <w:adjustRightInd w:val="0"/>
        <w:spacing w:line="360" w:lineRule="auto"/>
        <w:jc w:val="left"/>
        <w:rPr>
          <w:rFonts w:ascii="仿宋" w:hAnsi="仿宋" w:eastAsia="仿宋" w:cs="仿宋"/>
          <w:szCs w:val="30"/>
        </w:rPr>
      </w:pPr>
    </w:p>
    <w:p>
      <w:pPr>
        <w:autoSpaceDE w:val="0"/>
        <w:autoSpaceDN w:val="0"/>
        <w:adjustRightInd w:val="0"/>
        <w:spacing w:line="360" w:lineRule="auto"/>
        <w:jc w:val="left"/>
        <w:rPr>
          <w:rFonts w:ascii="仿宋" w:hAnsi="仿宋" w:eastAsia="仿宋" w:cs="仿宋"/>
          <w:szCs w:val="30"/>
        </w:rPr>
      </w:pPr>
    </w:p>
    <w:p>
      <w:pPr>
        <w:autoSpaceDE w:val="0"/>
        <w:autoSpaceDN w:val="0"/>
        <w:adjustRightInd w:val="0"/>
        <w:spacing w:line="360" w:lineRule="auto"/>
        <w:jc w:val="left"/>
        <w:rPr>
          <w:rFonts w:ascii="仿宋" w:hAnsi="仿宋" w:eastAsia="仿宋" w:cs="仿宋"/>
          <w:szCs w:val="30"/>
        </w:rPr>
      </w:pPr>
    </w:p>
    <w:p>
      <w:pPr>
        <w:autoSpaceDE w:val="0"/>
        <w:autoSpaceDN w:val="0"/>
        <w:adjustRightInd w:val="0"/>
        <w:spacing w:line="360" w:lineRule="auto"/>
        <w:jc w:val="left"/>
        <w:rPr>
          <w:rFonts w:ascii="仿宋" w:hAnsi="仿宋" w:eastAsia="仿宋" w:cs="仿宋"/>
          <w:szCs w:val="30"/>
        </w:rPr>
      </w:pPr>
    </w:p>
    <w:p>
      <w:pPr>
        <w:autoSpaceDE w:val="0"/>
        <w:autoSpaceDN w:val="0"/>
        <w:adjustRightInd w:val="0"/>
        <w:spacing w:line="360" w:lineRule="auto"/>
        <w:jc w:val="left"/>
        <w:rPr>
          <w:rFonts w:ascii="仿宋" w:hAnsi="仿宋" w:eastAsia="仿宋" w:cs="仿宋"/>
          <w:szCs w:val="30"/>
        </w:rPr>
      </w:pPr>
    </w:p>
    <w:p>
      <w:pPr>
        <w:autoSpaceDE w:val="0"/>
        <w:autoSpaceDN w:val="0"/>
        <w:adjustRightInd w:val="0"/>
        <w:spacing w:line="360" w:lineRule="auto"/>
        <w:jc w:val="left"/>
        <w:rPr>
          <w:rFonts w:ascii="仿宋" w:hAnsi="仿宋" w:eastAsia="仿宋" w:cs="仿宋"/>
          <w:szCs w:val="30"/>
        </w:rPr>
      </w:pPr>
      <w:r>
        <w:rPr>
          <w:rFonts w:hint="eastAsia" w:ascii="仿宋" w:hAnsi="仿宋" w:eastAsia="仿宋" w:cs="仿宋"/>
          <w:szCs w:val="30"/>
        </w:rPr>
        <w:drawing>
          <wp:inline distT="0" distB="0" distL="114300" distR="114300">
            <wp:extent cx="5581650" cy="3419475"/>
            <wp:effectExtent l="0" t="0" r="0" b="9525"/>
            <wp:docPr id="32" name="图片 32" descr="1663502606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1663502606157"/>
                    <pic:cNvPicPr>
                      <a:picLocks noChangeAspect="1"/>
                    </pic:cNvPicPr>
                  </pic:nvPicPr>
                  <pic:blipFill>
                    <a:blip r:embed="rId15"/>
                    <a:stretch>
                      <a:fillRect/>
                    </a:stretch>
                  </pic:blipFill>
                  <pic:spPr>
                    <a:xfrm>
                      <a:off x="0" y="0"/>
                      <a:ext cx="5581650" cy="3419475"/>
                    </a:xfrm>
                    <a:prstGeom prst="rect">
                      <a:avLst/>
                    </a:prstGeom>
                  </pic:spPr>
                </pic:pic>
              </a:graphicData>
            </a:graphic>
          </wp:inline>
        </w:drawing>
      </w:r>
    </w:p>
    <w:p>
      <w:pPr>
        <w:autoSpaceDE w:val="0"/>
        <w:autoSpaceDN w:val="0"/>
        <w:adjustRightInd w:val="0"/>
        <w:spacing w:line="360" w:lineRule="auto"/>
        <w:jc w:val="left"/>
        <w:rPr>
          <w:rFonts w:ascii="仿宋" w:hAnsi="仿宋" w:eastAsia="仿宋" w:cs="仿宋"/>
          <w:szCs w:val="30"/>
        </w:rPr>
      </w:pPr>
    </w:p>
    <w:p>
      <w:pPr>
        <w:autoSpaceDE w:val="0"/>
        <w:autoSpaceDN w:val="0"/>
        <w:adjustRightInd w:val="0"/>
        <w:spacing w:line="360" w:lineRule="auto"/>
        <w:jc w:val="left"/>
        <w:rPr>
          <w:rFonts w:ascii="仿宋" w:hAnsi="仿宋" w:eastAsia="仿宋" w:cs="仿宋"/>
          <w:kern w:val="0"/>
          <w:sz w:val="30"/>
          <w:szCs w:val="30"/>
        </w:rPr>
      </w:pPr>
    </w:p>
    <w:p>
      <w:pPr>
        <w:widowControl/>
        <w:spacing w:line="600" w:lineRule="exact"/>
        <w:rPr>
          <w:rFonts w:ascii="仿宋" w:hAnsi="仿宋" w:eastAsia="仿宋" w:cs="仿宋"/>
          <w:b/>
          <w:sz w:val="32"/>
          <w:szCs w:val="32"/>
        </w:rPr>
      </w:pPr>
    </w:p>
    <w:p>
      <w:pPr>
        <w:widowControl/>
        <w:spacing w:line="600" w:lineRule="exact"/>
        <w:ind w:firstLine="640"/>
        <w:jc w:val="center"/>
        <w:rPr>
          <w:rFonts w:ascii="仿宋" w:hAnsi="仿宋" w:eastAsia="仿宋" w:cs="仿宋"/>
          <w:sz w:val="36"/>
          <w:szCs w:val="36"/>
        </w:rPr>
      </w:pPr>
      <w:r>
        <w:rPr>
          <w:rFonts w:hint="eastAsia" w:ascii="仿宋" w:hAnsi="仿宋" w:eastAsia="仿宋" w:cs="仿宋"/>
          <w:sz w:val="36"/>
          <w:szCs w:val="36"/>
        </w:rPr>
        <w:t>第三部分  2021年度部门决算情况说明</w:t>
      </w:r>
    </w:p>
    <w:p>
      <w:pPr>
        <w:widowControl/>
        <w:spacing w:line="660" w:lineRule="exact"/>
        <w:ind w:firstLine="640" w:firstLineChars="200"/>
        <w:jc w:val="left"/>
        <w:rPr>
          <w:rFonts w:ascii="仿宋" w:hAnsi="仿宋" w:eastAsia="仿宋" w:cs="仿宋"/>
          <w:sz w:val="32"/>
          <w:szCs w:val="32"/>
        </w:rPr>
      </w:pPr>
    </w:p>
    <w:p>
      <w:pPr>
        <w:widowControl/>
        <w:spacing w:line="6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一、收入决算情况说明</w:t>
      </w:r>
    </w:p>
    <w:p>
      <w:pPr>
        <w:pStyle w:val="9"/>
        <w:spacing w:line="560" w:lineRule="exact"/>
        <w:ind w:firstLine="601"/>
        <w:rPr>
          <w:rFonts w:ascii="仿宋" w:hAnsi="仿宋" w:eastAsia="仿宋" w:cs="仿宋"/>
          <w:sz w:val="32"/>
          <w:szCs w:val="32"/>
        </w:rPr>
      </w:pPr>
      <w:r>
        <w:rPr>
          <w:rFonts w:hint="eastAsia" w:ascii="仿宋" w:hAnsi="仿宋" w:eastAsia="仿宋" w:cs="仿宋"/>
          <w:sz w:val="32"/>
          <w:szCs w:val="32"/>
        </w:rPr>
        <w:t>本部门2021年度收入总计675.81万元，其中年初结转和结余 43.58万元，较2020年增加5.27万元，增加0.84%；本年收入合计632.22万元，较2020增加67.22万元，增加11.9%，主要原因是本年其他收入（瓷博会志愿者工作经费等其他收入）增加。</w:t>
      </w:r>
    </w:p>
    <w:p>
      <w:pPr>
        <w:pStyle w:val="9"/>
        <w:spacing w:line="560" w:lineRule="exact"/>
        <w:ind w:firstLine="601"/>
        <w:rPr>
          <w:rFonts w:ascii="仿宋" w:hAnsi="仿宋" w:eastAsia="仿宋" w:cs="仿宋"/>
          <w:sz w:val="32"/>
          <w:szCs w:val="32"/>
        </w:rPr>
      </w:pPr>
      <w:r>
        <w:rPr>
          <w:rFonts w:hint="eastAsia" w:ascii="仿宋" w:hAnsi="仿宋" w:eastAsia="仿宋" w:cs="仿宋"/>
          <w:sz w:val="32"/>
          <w:szCs w:val="32"/>
        </w:rPr>
        <w:t>本年收入的具体构成为：财政拨款收入552.44万元，占87.38 %；事业收入0万元，占0%；经营收入0万元，占0%；其他收入44.81万元，占7.09%，政府性基金预算财政拨款收入34.97万元，占5.53%。</w:t>
      </w:r>
    </w:p>
    <w:p>
      <w:pPr>
        <w:widowControl/>
        <w:spacing w:line="660" w:lineRule="exact"/>
        <w:ind w:firstLine="1280" w:firstLineChars="400"/>
        <w:jc w:val="left"/>
        <w:rPr>
          <w:rFonts w:ascii="仿宋" w:hAnsi="仿宋" w:eastAsia="仿宋" w:cs="仿宋"/>
          <w:sz w:val="32"/>
          <w:szCs w:val="32"/>
        </w:rPr>
      </w:pPr>
    </w:p>
    <w:p>
      <w:pPr>
        <w:widowControl/>
        <w:spacing w:line="6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二、支出决算情况说明</w:t>
      </w:r>
    </w:p>
    <w:p>
      <w:pPr>
        <w:pStyle w:val="9"/>
        <w:spacing w:line="560" w:lineRule="exact"/>
        <w:ind w:firstLine="601"/>
        <w:rPr>
          <w:rFonts w:ascii="仿宋" w:hAnsi="仿宋" w:eastAsia="仿宋" w:cs="仿宋"/>
          <w:sz w:val="32"/>
          <w:szCs w:val="32"/>
        </w:rPr>
      </w:pPr>
      <w:r>
        <w:rPr>
          <w:rFonts w:hint="eastAsia" w:ascii="仿宋" w:hAnsi="仿宋" w:eastAsia="仿宋" w:cs="仿宋"/>
          <w:sz w:val="32"/>
          <w:szCs w:val="32"/>
        </w:rPr>
        <w:t>本部门2021年度支出总计675.81万元，其中本年支出合计675.81万元，较2020年增加92.44万元，增加15.85%；年末结转和结余0万元，较2020年减少43.58万元，减少100 %，主要原因是：本年部门加快资金使用进度，支付上年未支付项目资金。</w:t>
      </w:r>
    </w:p>
    <w:p>
      <w:pPr>
        <w:widowControl/>
        <w:spacing w:line="6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本年支出的具体构成为：基本支出563.39万元，占 83.37%；项目支出112.42万元，占16.63%；经营支出0 万元，占0%；其他支出（对附属单位补助支出、上缴上级支出）0万元，占0%</w:t>
      </w:r>
    </w:p>
    <w:p>
      <w:pPr>
        <w:widowControl/>
        <w:spacing w:line="6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三、财政拨款支出决算情况说明</w:t>
      </w:r>
    </w:p>
    <w:p>
      <w:pPr>
        <w:pStyle w:val="9"/>
        <w:spacing w:line="560" w:lineRule="exact"/>
        <w:ind w:firstLine="601"/>
        <w:rPr>
          <w:rFonts w:ascii="仿宋" w:hAnsi="仿宋" w:eastAsia="仿宋" w:cs="仿宋"/>
          <w:sz w:val="32"/>
          <w:szCs w:val="32"/>
        </w:rPr>
      </w:pPr>
      <w:r>
        <w:rPr>
          <w:rFonts w:hint="eastAsia" w:ascii="仿宋" w:hAnsi="仿宋" w:eastAsia="仿宋" w:cs="仿宋"/>
          <w:sz w:val="32"/>
          <w:szCs w:val="32"/>
        </w:rPr>
        <w:t>本部门2021年度财政拨款本年支出年初预算数为478.77万元，决算数为630.99万元，完成年初预算的131.79%。其中：</w:t>
      </w:r>
    </w:p>
    <w:p>
      <w:pPr>
        <w:pStyle w:val="9"/>
        <w:spacing w:line="560" w:lineRule="exact"/>
        <w:ind w:firstLine="601"/>
        <w:rPr>
          <w:rFonts w:ascii="仿宋" w:hAnsi="仿宋" w:eastAsia="仿宋" w:cs="仿宋"/>
          <w:sz w:val="32"/>
          <w:szCs w:val="32"/>
        </w:rPr>
      </w:pPr>
      <w:r>
        <w:rPr>
          <w:rFonts w:hint="eastAsia" w:ascii="仿宋" w:hAnsi="仿宋" w:eastAsia="仿宋" w:cs="仿宋"/>
          <w:sz w:val="32"/>
          <w:szCs w:val="32"/>
        </w:rPr>
        <w:t>（一）一般公共服务支出年初预算数为384.01万元，决算数为496.65万元，完成年初预算的129.33%，主要原因是：年中追加预算，本年奖励性支出增加。</w:t>
      </w:r>
    </w:p>
    <w:p>
      <w:pPr>
        <w:pStyle w:val="9"/>
        <w:spacing w:line="560" w:lineRule="exact"/>
        <w:ind w:firstLine="601"/>
        <w:rPr>
          <w:rFonts w:ascii="仿宋" w:hAnsi="仿宋" w:eastAsia="仿宋" w:cs="仿宋"/>
          <w:sz w:val="32"/>
          <w:szCs w:val="32"/>
        </w:rPr>
      </w:pPr>
      <w:r>
        <w:rPr>
          <w:rFonts w:hint="eastAsia" w:ascii="仿宋" w:hAnsi="仿宋" w:eastAsia="仿宋" w:cs="仿宋"/>
          <w:sz w:val="32"/>
          <w:szCs w:val="32"/>
        </w:rPr>
        <w:t>（二）社会保障和就业支出年初预算数为34.89万元，决算数为34.89万元，完成年初预算的100%。主要原因是本部门按照财政拨款基数缴纳保险经费。</w:t>
      </w:r>
    </w:p>
    <w:p>
      <w:pPr>
        <w:pStyle w:val="9"/>
        <w:spacing w:line="560" w:lineRule="exact"/>
        <w:ind w:firstLine="601"/>
        <w:rPr>
          <w:rFonts w:ascii="仿宋" w:hAnsi="仿宋" w:eastAsia="仿宋" w:cs="仿宋"/>
          <w:sz w:val="32"/>
          <w:szCs w:val="32"/>
        </w:rPr>
      </w:pPr>
      <w:r>
        <w:rPr>
          <w:rFonts w:hint="eastAsia" w:ascii="仿宋" w:hAnsi="仿宋" w:eastAsia="仿宋" w:cs="仿宋"/>
          <w:sz w:val="32"/>
          <w:szCs w:val="32"/>
        </w:rPr>
        <w:t>（三）住房保障支出年初预算数为32.87万元，决算数为32.87万元，完成年初预算的100%。主要原因是本部门按照财政拨款基数缴纳住房公积金。</w:t>
      </w:r>
    </w:p>
    <w:p>
      <w:pPr>
        <w:pStyle w:val="9"/>
        <w:spacing w:line="560" w:lineRule="exact"/>
        <w:ind w:firstLine="601"/>
        <w:rPr>
          <w:rFonts w:ascii="仿宋" w:hAnsi="仿宋" w:eastAsia="仿宋" w:cs="仿宋"/>
          <w:sz w:val="32"/>
          <w:szCs w:val="32"/>
        </w:rPr>
      </w:pPr>
    </w:p>
    <w:p>
      <w:pPr>
        <w:pStyle w:val="9"/>
        <w:spacing w:line="560" w:lineRule="exact"/>
        <w:ind w:firstLine="601"/>
        <w:rPr>
          <w:rFonts w:ascii="仿宋" w:hAnsi="仿宋" w:eastAsia="仿宋" w:cs="仿宋"/>
          <w:sz w:val="32"/>
          <w:szCs w:val="32"/>
        </w:rPr>
      </w:pPr>
      <w:r>
        <w:rPr>
          <w:rFonts w:hint="eastAsia" w:ascii="仿宋" w:hAnsi="仿宋" w:eastAsia="仿宋" w:cs="仿宋"/>
          <w:sz w:val="32"/>
          <w:szCs w:val="32"/>
        </w:rPr>
        <w:t>（四）卫生健康支出年初预算数为27万元，决算数为26.61万元，完成年初预算的98.56%，主要原因是：公务员医疗补助保险未及时缴纳（2022年补缴）。</w:t>
      </w:r>
    </w:p>
    <w:p>
      <w:pPr>
        <w:pStyle w:val="9"/>
        <w:spacing w:line="560" w:lineRule="exact"/>
        <w:ind w:firstLine="601"/>
        <w:rPr>
          <w:rFonts w:ascii="仿宋" w:hAnsi="仿宋" w:eastAsia="仿宋" w:cs="仿宋"/>
          <w:sz w:val="32"/>
          <w:szCs w:val="32"/>
        </w:rPr>
      </w:pPr>
      <w:r>
        <w:rPr>
          <w:rFonts w:hint="eastAsia" w:ascii="仿宋" w:hAnsi="仿宋" w:eastAsia="仿宋" w:cs="仿宋"/>
          <w:sz w:val="32"/>
          <w:szCs w:val="32"/>
        </w:rPr>
        <w:t>（五）其他支出年初预算数为0万元，决算数为39.97万元。主要原因是年中追加预算，增加该项支出。</w:t>
      </w:r>
    </w:p>
    <w:p>
      <w:pPr>
        <w:widowControl/>
        <w:spacing w:line="660" w:lineRule="exact"/>
        <w:ind w:firstLine="1280" w:firstLineChars="400"/>
        <w:jc w:val="left"/>
        <w:rPr>
          <w:rFonts w:ascii="仿宋" w:hAnsi="仿宋" w:eastAsia="仿宋" w:cs="仿宋"/>
          <w:sz w:val="32"/>
          <w:szCs w:val="32"/>
        </w:rPr>
      </w:pPr>
    </w:p>
    <w:p>
      <w:pPr>
        <w:widowControl/>
        <w:numPr>
          <w:ilvl w:val="0"/>
          <w:numId w:val="4"/>
        </w:numPr>
        <w:spacing w:line="6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一般公共预算财政拨款基本支出决算情况说明</w:t>
      </w:r>
    </w:p>
    <w:p>
      <w:pPr>
        <w:widowControl/>
        <w:spacing w:line="660" w:lineRule="exact"/>
        <w:jc w:val="left"/>
        <w:rPr>
          <w:rFonts w:ascii="仿宋" w:hAnsi="仿宋" w:eastAsia="仿宋" w:cs="仿宋"/>
          <w:sz w:val="32"/>
          <w:szCs w:val="32"/>
        </w:rPr>
      </w:pPr>
    </w:p>
    <w:p>
      <w:pPr>
        <w:pStyle w:val="9"/>
        <w:spacing w:line="560" w:lineRule="exact"/>
        <w:ind w:firstLine="601"/>
        <w:rPr>
          <w:rFonts w:ascii="仿宋" w:hAnsi="仿宋" w:eastAsia="仿宋" w:cs="仿宋"/>
          <w:sz w:val="32"/>
          <w:szCs w:val="32"/>
        </w:rPr>
      </w:pPr>
      <w:r>
        <w:rPr>
          <w:rFonts w:hint="eastAsia" w:ascii="仿宋" w:hAnsi="仿宋" w:eastAsia="仿宋" w:cs="仿宋"/>
          <w:sz w:val="32"/>
          <w:szCs w:val="32"/>
        </w:rPr>
        <w:t>本单位2021年度一般公共预算财政拨款基本支出 518.58万元，其中：</w:t>
      </w:r>
    </w:p>
    <w:p>
      <w:pPr>
        <w:pStyle w:val="9"/>
        <w:spacing w:line="560" w:lineRule="exact"/>
        <w:ind w:firstLine="601"/>
        <w:rPr>
          <w:rFonts w:ascii="仿宋" w:hAnsi="仿宋" w:eastAsia="仿宋" w:cs="仿宋"/>
          <w:sz w:val="32"/>
          <w:szCs w:val="32"/>
        </w:rPr>
      </w:pPr>
      <w:r>
        <w:rPr>
          <w:rFonts w:hint="eastAsia" w:ascii="仿宋" w:hAnsi="仿宋" w:eastAsia="仿宋" w:cs="仿宋"/>
          <w:sz w:val="32"/>
          <w:szCs w:val="32"/>
        </w:rPr>
        <w:t>（一）工资福利支出417.21万元，较2020年减少25.1万元，减少5.68%，主要原因是：一是单位本年人员退休；二是下属事业单位聘用教师奖金本年调整科目，未在工资福利支出中反映。</w:t>
      </w:r>
    </w:p>
    <w:p>
      <w:pPr>
        <w:pStyle w:val="9"/>
        <w:spacing w:line="560" w:lineRule="exact"/>
        <w:ind w:firstLine="601"/>
        <w:rPr>
          <w:rFonts w:ascii="仿宋" w:hAnsi="仿宋" w:eastAsia="仿宋" w:cs="仿宋"/>
          <w:sz w:val="32"/>
          <w:szCs w:val="32"/>
        </w:rPr>
      </w:pPr>
      <w:r>
        <w:rPr>
          <w:rFonts w:hint="eastAsia" w:ascii="仿宋" w:hAnsi="仿宋" w:eastAsia="仿宋" w:cs="仿宋"/>
          <w:sz w:val="32"/>
          <w:szCs w:val="32"/>
        </w:rPr>
        <w:t>（二）商品和服务支出 94.8万元，较2020年减少16.95万元，增加21.77%，主要原因是：下属单位青少年宫的聘用人员奖金支出本年在商品和服务支出中的劳务费中放映。</w:t>
      </w:r>
    </w:p>
    <w:p>
      <w:pPr>
        <w:pStyle w:val="9"/>
        <w:spacing w:line="560" w:lineRule="exact"/>
        <w:ind w:firstLine="601"/>
        <w:rPr>
          <w:rFonts w:ascii="仿宋" w:hAnsi="仿宋" w:eastAsia="仿宋" w:cs="仿宋"/>
          <w:sz w:val="32"/>
          <w:szCs w:val="32"/>
        </w:rPr>
      </w:pPr>
    </w:p>
    <w:p>
      <w:pPr>
        <w:pStyle w:val="9"/>
        <w:spacing w:line="560" w:lineRule="exact"/>
        <w:ind w:firstLine="601"/>
        <w:rPr>
          <w:rFonts w:ascii="仿宋" w:hAnsi="仿宋" w:eastAsia="仿宋" w:cs="仿宋"/>
          <w:sz w:val="32"/>
          <w:szCs w:val="32"/>
        </w:rPr>
      </w:pPr>
      <w:r>
        <w:rPr>
          <w:rFonts w:hint="eastAsia" w:ascii="仿宋" w:hAnsi="仿宋" w:eastAsia="仿宋" w:cs="仿宋"/>
          <w:sz w:val="32"/>
          <w:szCs w:val="32"/>
        </w:rPr>
        <w:t>（三）对个人和家庭补助支出6.56万元，较2020年增加5.43万元，增长480.53%，主要原因是：本年退休人员奖励金增加。</w:t>
      </w:r>
    </w:p>
    <w:p>
      <w:pPr>
        <w:widowControl/>
        <w:spacing w:line="6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（四）其他资本性支出 0万元，较2020年减少0万元，减少100 %，主要原因是本年资本性支出。</w:t>
      </w:r>
    </w:p>
    <w:p>
      <w:pPr>
        <w:widowControl/>
        <w:spacing w:line="6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五、一般公共预算财政拨款“三公”经费支出决算情况说明</w:t>
      </w:r>
    </w:p>
    <w:p>
      <w:pPr>
        <w:pStyle w:val="9"/>
        <w:spacing w:line="560" w:lineRule="exact"/>
        <w:ind w:firstLine="601"/>
        <w:rPr>
          <w:rFonts w:ascii="仿宋" w:hAnsi="仿宋" w:eastAsia="仿宋" w:cs="仿宋"/>
          <w:sz w:val="32"/>
          <w:szCs w:val="32"/>
        </w:rPr>
      </w:pPr>
      <w:r>
        <w:rPr>
          <w:rFonts w:hint="eastAsia" w:ascii="仿宋" w:hAnsi="仿宋" w:eastAsia="仿宋" w:cs="仿宋"/>
          <w:sz w:val="32"/>
          <w:szCs w:val="32"/>
        </w:rPr>
        <w:t>本单位2021年度一般公共预算财政拨款“三公”经费支出年初预算数为0.5万元，决算数为 0.16万元，完成预算的32%，决算数较2020年减少万元，减少68%，其中：</w:t>
      </w:r>
    </w:p>
    <w:p>
      <w:pPr>
        <w:pStyle w:val="9"/>
        <w:spacing w:line="560" w:lineRule="exact"/>
        <w:ind w:firstLine="601"/>
        <w:rPr>
          <w:rFonts w:ascii="仿宋" w:hAnsi="仿宋" w:eastAsia="仿宋" w:cs="仿宋"/>
          <w:sz w:val="32"/>
          <w:szCs w:val="32"/>
        </w:rPr>
      </w:pPr>
      <w:r>
        <w:rPr>
          <w:rFonts w:hint="eastAsia" w:ascii="仿宋" w:hAnsi="仿宋" w:eastAsia="仿宋" w:cs="仿宋"/>
          <w:sz w:val="32"/>
          <w:szCs w:val="32"/>
        </w:rPr>
        <w:t>（一）因公出国（境）支出年初预算数为   0万元，决算数为0万元，完成预算的0%，决算数较2020年增加（减少）0万元，增长（下降）0%。</w:t>
      </w:r>
    </w:p>
    <w:p>
      <w:pPr>
        <w:pStyle w:val="9"/>
        <w:spacing w:line="560" w:lineRule="exact"/>
        <w:ind w:firstLine="601"/>
        <w:rPr>
          <w:rFonts w:ascii="仿宋_GB2312" w:hAnsi="仿宋" w:eastAsia="仿宋_GB2312"/>
          <w:sz w:val="32"/>
          <w:szCs w:val="32"/>
        </w:rPr>
      </w:pPr>
      <w:r>
        <w:rPr>
          <w:rFonts w:hint="eastAsia" w:ascii="仿宋" w:hAnsi="仿宋" w:eastAsia="仿宋" w:cs="仿宋"/>
          <w:sz w:val="32"/>
          <w:szCs w:val="32"/>
        </w:rPr>
        <w:t>（二）公务接待费支出年初预算数为0.5万元，决算数为0.16万元，完成预算的32%，决算数较预算数年减少0.34万元，减少68%，主要原因是：本年压缩经费开支，减少招待费用开支。</w:t>
      </w:r>
      <w:r>
        <w:rPr>
          <w:rFonts w:hint="eastAsia" w:ascii="仿宋_GB2312" w:hAnsi="仿宋" w:eastAsia="仿宋_GB2312"/>
          <w:sz w:val="32"/>
          <w:szCs w:val="32"/>
        </w:rPr>
        <w:t>全年国内公务接待3批，累计接待15人次，其中外事接待 0批，累计接待0人次。</w:t>
      </w:r>
    </w:p>
    <w:p>
      <w:pPr>
        <w:pStyle w:val="9"/>
        <w:spacing w:line="560" w:lineRule="exact"/>
        <w:ind w:firstLine="601"/>
        <w:rPr>
          <w:rFonts w:ascii="仿宋" w:hAnsi="仿宋" w:eastAsia="仿宋" w:cs="仿宋"/>
          <w:sz w:val="32"/>
          <w:szCs w:val="32"/>
        </w:rPr>
      </w:pPr>
      <w:r>
        <w:rPr>
          <w:rFonts w:hint="eastAsia" w:ascii="仿宋" w:hAnsi="仿宋" w:eastAsia="仿宋" w:cs="仿宋"/>
          <w:sz w:val="32"/>
          <w:szCs w:val="32"/>
        </w:rPr>
        <w:t>（三）公务用车购置及运行维护费支出 0  万元，其中公务用车购置年初预算数为0万元，决算数为0万元，完成预算的0%，决算数较2018年增加（减少）0万元，增长（下降）0%。公务用车运行维护费支出年初预算数为0万元，决算数为0万元，完成预算的0%，决算数较2018年增加（减少）0万元，增长（下降）0%。</w:t>
      </w:r>
    </w:p>
    <w:p>
      <w:pPr>
        <w:widowControl/>
        <w:spacing w:line="6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六、机关运行经费支出情况说明</w:t>
      </w:r>
    </w:p>
    <w:p>
      <w:pPr>
        <w:pStyle w:val="9"/>
        <w:spacing w:line="560" w:lineRule="exact"/>
        <w:ind w:firstLine="601"/>
        <w:rPr>
          <w:rFonts w:ascii="仿宋" w:hAnsi="仿宋" w:eastAsia="仿宋" w:cs="仿宋"/>
          <w:sz w:val="32"/>
          <w:szCs w:val="32"/>
        </w:rPr>
      </w:pPr>
      <w:r>
        <w:rPr>
          <w:rFonts w:hint="eastAsia" w:ascii="仿宋" w:hAnsi="仿宋" w:eastAsia="仿宋" w:cs="仿宋"/>
          <w:sz w:val="32"/>
          <w:szCs w:val="32"/>
        </w:rPr>
        <w:t>本部门2021年度机关运行经费支出26.97万元（与部门决算中行政单位和参照公务员法管理事业单位一般公共预算财政拨款基本支出中公用经费保持一致），较2020年减少50.88万元，减少65.36%，2021年本单位严抓资金使用用途，压缩公用经费支出。</w:t>
      </w:r>
    </w:p>
    <w:p>
      <w:pPr>
        <w:pStyle w:val="9"/>
        <w:spacing w:line="560" w:lineRule="exact"/>
        <w:ind w:firstLine="601"/>
        <w:rPr>
          <w:rFonts w:ascii="仿宋" w:hAnsi="仿宋" w:eastAsia="仿宋" w:cs="仿宋"/>
          <w:sz w:val="32"/>
          <w:szCs w:val="32"/>
        </w:rPr>
      </w:pPr>
      <w:r>
        <w:rPr>
          <w:rFonts w:hint="eastAsia" w:ascii="仿宋" w:hAnsi="仿宋" w:eastAsia="仿宋" w:cs="仿宋"/>
          <w:sz w:val="32"/>
          <w:szCs w:val="32"/>
        </w:rPr>
        <w:t>七、政府采购支出情况说明</w:t>
      </w:r>
    </w:p>
    <w:p>
      <w:pPr>
        <w:pStyle w:val="9"/>
        <w:spacing w:line="600" w:lineRule="exact"/>
        <w:ind w:firstLine="600"/>
        <w:rPr>
          <w:rFonts w:ascii="仿宋" w:hAnsi="仿宋" w:eastAsia="仿宋" w:cs="仿宋"/>
          <w:sz w:val="32"/>
          <w:szCs w:val="32"/>
        </w:rPr>
      </w:pPr>
      <w:r>
        <w:rPr>
          <w:rFonts w:hint="eastAsia" w:ascii="仿宋" w:hAnsi="仿宋" w:eastAsia="仿宋" w:cs="仿宋"/>
          <w:sz w:val="32"/>
          <w:szCs w:val="32"/>
        </w:rPr>
        <w:t>本部门2021年度政府采购支出总额0万元，其中：政府采购货物支出 0万元、政府采购工程支出0万元、政府采购服务支出0万元。授予中小企业合同金额0万元，占政府采购支出总额的0%，其中：授予小微企业合同金额  0万元，占政府采购支出总额的0%。</w:t>
      </w:r>
    </w:p>
    <w:p>
      <w:pPr>
        <w:pStyle w:val="9"/>
        <w:spacing w:line="600" w:lineRule="exact"/>
        <w:ind w:firstLine="600"/>
        <w:rPr>
          <w:rFonts w:ascii="仿宋" w:hAnsi="仿宋" w:eastAsia="仿宋" w:cs="仿宋"/>
          <w:sz w:val="32"/>
          <w:szCs w:val="32"/>
        </w:rPr>
      </w:pPr>
    </w:p>
    <w:p>
      <w:pPr>
        <w:numPr>
          <w:ilvl w:val="0"/>
          <w:numId w:val="5"/>
        </w:numPr>
        <w:ind w:firstLine="630"/>
        <w:jc w:val="left"/>
        <w:rPr>
          <w:rFonts w:ascii="仿宋" w:hAnsi="仿宋" w:eastAsia="仿宋" w:cs="仿宋"/>
          <w:b/>
          <w:bCs/>
          <w:sz w:val="32"/>
          <w:szCs w:val="32"/>
        </w:rPr>
      </w:pPr>
      <w:r>
        <w:rPr>
          <w:rFonts w:hint="eastAsia" w:ascii="仿宋" w:hAnsi="仿宋" w:eastAsia="仿宋" w:cs="仿宋"/>
          <w:b/>
          <w:bCs/>
          <w:sz w:val="32"/>
          <w:szCs w:val="32"/>
        </w:rPr>
        <w:t>国有资产占用情况说明</w:t>
      </w:r>
    </w:p>
    <w:p>
      <w:pPr>
        <w:jc w:val="left"/>
        <w:rPr>
          <w:rFonts w:ascii="仿宋" w:hAnsi="仿宋" w:eastAsia="仿宋" w:cs="仿宋"/>
          <w:sz w:val="30"/>
          <w:szCs w:val="30"/>
        </w:rPr>
      </w:pPr>
    </w:p>
    <w:p>
      <w:pPr>
        <w:spacing w:line="360" w:lineRule="auto"/>
        <w:ind w:firstLine="629"/>
        <w:jc w:val="left"/>
        <w:rPr>
          <w:rFonts w:ascii="仿宋" w:hAnsi="仿宋" w:eastAsia="仿宋" w:cs="仿宋"/>
          <w:kern w:val="0"/>
          <w:sz w:val="32"/>
          <w:szCs w:val="32"/>
        </w:rPr>
      </w:pPr>
      <w:r>
        <w:rPr>
          <w:rFonts w:hint="eastAsia" w:ascii="仿宋" w:hAnsi="仿宋" w:eastAsia="仿宋" w:cs="仿宋"/>
          <w:kern w:val="0"/>
          <w:sz w:val="32"/>
          <w:szCs w:val="32"/>
        </w:rPr>
        <w:t>截止2021年12月31日，本部门共有车辆0辆，其中，副部（省）级及以上领导用车 0 辆、主要领导干部用车 0 辆、机要通信用车 0 辆、应急保障用车 0 辆、执法执勤用车 0 辆、特种专业技术用车 0 辆、其他用车0  辆，其他用车主要是……；单位价值50万元以上通用设备  台（套）；单位价值100万元以上专用设备0  台（套）。</w:t>
      </w:r>
    </w:p>
    <w:p>
      <w:pPr>
        <w:ind w:firstLine="630"/>
        <w:jc w:val="left"/>
        <w:rPr>
          <w:rFonts w:ascii="仿宋" w:hAnsi="仿宋" w:eastAsia="仿宋" w:cs="仿宋"/>
          <w:kern w:val="0"/>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（一）绩效管理工作开展情况。</w:t>
      </w:r>
    </w:p>
    <w:p>
      <w:pPr>
        <w:autoSpaceDE w:val="0"/>
        <w:autoSpaceDN w:val="0"/>
        <w:adjustRightInd w:val="0"/>
        <w:spacing w:line="360" w:lineRule="auto"/>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根据预算绩效管理要求，我部门聘请第三方对2021年度一般公共预算项目支出全面开展绩效评价，其中，一级项目 0 个，二级项目4个，共涉及资金 77万元，占一般公共预算项目支出总额的100 %。</w:t>
      </w:r>
    </w:p>
    <w:p>
      <w:pPr>
        <w:numPr>
          <w:ilvl w:val="0"/>
          <w:numId w:val="6"/>
        </w:numPr>
        <w:autoSpaceDE w:val="0"/>
        <w:autoSpaceDN w:val="0"/>
        <w:adjustRightInd w:val="0"/>
        <w:spacing w:line="360" w:lineRule="auto"/>
        <w:ind w:firstLine="600" w:firstLineChars="200"/>
        <w:jc w:val="left"/>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部门决算中项目绩效自评</w:t>
      </w:r>
      <w:r>
        <w:rPr>
          <w:rFonts w:hint="eastAsia" w:ascii="仿宋_GB2312" w:hAnsi="仿宋_GB2312" w:eastAsia="仿宋_GB2312" w:cs="仿宋_GB2312"/>
          <w:color w:val="auto"/>
          <w:kern w:val="0"/>
          <w:sz w:val="30"/>
          <w:szCs w:val="30"/>
          <w:lang w:val="en-US" w:eastAsia="zh-CN"/>
        </w:rPr>
        <w:t>情况</w:t>
      </w:r>
      <w:r>
        <w:rPr>
          <w:rFonts w:hint="eastAsia" w:ascii="仿宋_GB2312" w:hAnsi="仿宋_GB2312" w:eastAsia="仿宋_GB2312" w:cs="仿宋_GB2312"/>
          <w:color w:val="auto"/>
          <w:kern w:val="0"/>
          <w:sz w:val="30"/>
          <w:szCs w:val="30"/>
        </w:rPr>
        <w:t>。</w:t>
      </w:r>
    </w:p>
    <w:p>
      <w:pPr>
        <w:keepNext w:val="0"/>
        <w:keepLines w:val="0"/>
        <w:widowControl/>
        <w:suppressLineNumbers w:val="0"/>
        <w:ind w:firstLine="300" w:firstLineChars="100"/>
        <w:jc w:val="left"/>
        <w:rPr>
          <w:rFonts w:hint="default" w:ascii="仿宋_GB2312" w:hAnsi="仿宋_GB2312" w:eastAsia="仿宋_GB2312" w:cs="仿宋_GB2312"/>
          <w:color w:val="auto"/>
          <w:kern w:val="0"/>
          <w:sz w:val="30"/>
          <w:szCs w:val="30"/>
          <w:lang w:val="en-US" w:eastAsia="zh-CN"/>
        </w:rPr>
      </w:pPr>
      <w:r>
        <w:rPr>
          <w:rFonts w:ascii="仿宋_GB2312" w:hAnsi="仿宋_GB2312" w:eastAsia="仿宋_GB2312" w:cs="仿宋_GB2312"/>
          <w:color w:val="000000"/>
          <w:kern w:val="0"/>
          <w:sz w:val="30"/>
          <w:szCs w:val="30"/>
          <w:lang w:val="en-US" w:eastAsia="zh-CN" w:bidi="ar"/>
        </w:rPr>
        <w:t>部门绩效自评总报告和《项目支出绩效自评表》</w:t>
      </w:r>
    </w:p>
    <w:p>
      <w:pPr>
        <w:jc w:val="center"/>
        <w:outlineLvl w:val="0"/>
      </w:pPr>
      <w:bookmarkStart w:id="0" w:name="_Toc21501"/>
      <w:r>
        <w:rPr>
          <w:rFonts w:hint="eastAsia" w:eastAsia="宋体" w:cs="Times New Roman"/>
          <w:b w:val="0"/>
          <w:bCs w:val="0"/>
          <w:sz w:val="36"/>
          <w:szCs w:val="36"/>
          <w:lang w:val="en-US" w:eastAsia="zh-CN"/>
        </w:rPr>
        <w:t>共青团景德镇市委员会整体支出绩效报告</w:t>
      </w:r>
      <w:bookmarkEnd w:id="0"/>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rPr>
        <w:t>为贯彻落实《中共</w:t>
      </w:r>
      <w:r>
        <w:rPr>
          <w:rFonts w:hint="eastAsia" w:ascii="仿宋" w:hAnsi="仿宋" w:eastAsia="仿宋" w:cs="仿宋"/>
          <w:kern w:val="2"/>
          <w:lang w:eastAsia="zh-CN"/>
        </w:rPr>
        <w:t>景德镇市委</w:t>
      </w:r>
      <w:r>
        <w:rPr>
          <w:rFonts w:hint="eastAsia" w:ascii="仿宋" w:hAnsi="仿宋" w:eastAsia="仿宋" w:cs="仿宋"/>
          <w:kern w:val="2"/>
          <w:lang w:val="en-US" w:eastAsia="zh-CN"/>
        </w:rPr>
        <w:t xml:space="preserve"> 景德镇市人民政府</w:t>
      </w:r>
      <w:r>
        <w:rPr>
          <w:rFonts w:hint="eastAsia" w:ascii="仿宋" w:hAnsi="仿宋" w:eastAsia="仿宋" w:cs="仿宋"/>
          <w:kern w:val="2"/>
        </w:rPr>
        <w:t>关于全面实施预算绩效管理的实施意见》（</w:t>
      </w:r>
      <w:r>
        <w:rPr>
          <w:rFonts w:hint="eastAsia" w:ascii="仿宋" w:hAnsi="仿宋" w:eastAsia="仿宋" w:cs="仿宋"/>
          <w:kern w:val="2"/>
          <w:lang w:eastAsia="zh-CN"/>
        </w:rPr>
        <w:t>景党发</w:t>
      </w:r>
      <w:r>
        <w:rPr>
          <w:rFonts w:hint="eastAsia" w:ascii="仿宋" w:hAnsi="仿宋" w:eastAsia="仿宋" w:cs="仿宋"/>
          <w:kern w:val="2"/>
        </w:rPr>
        <w:t>〔2019〕</w:t>
      </w:r>
      <w:r>
        <w:rPr>
          <w:rFonts w:hint="eastAsia" w:ascii="仿宋" w:hAnsi="仿宋" w:eastAsia="仿宋" w:cs="仿宋"/>
          <w:kern w:val="2"/>
          <w:lang w:val="en-US" w:eastAsia="zh-CN"/>
        </w:rPr>
        <w:t>1</w:t>
      </w:r>
      <w:r>
        <w:rPr>
          <w:rFonts w:hint="eastAsia" w:ascii="仿宋" w:hAnsi="仿宋" w:eastAsia="仿宋" w:cs="仿宋"/>
          <w:kern w:val="2"/>
        </w:rPr>
        <w:t>8号）的文件精神，进一步规范和加强</w:t>
      </w:r>
      <w:r>
        <w:rPr>
          <w:rFonts w:hint="eastAsia" w:ascii="仿宋" w:hAnsi="仿宋" w:eastAsia="仿宋" w:cs="仿宋"/>
          <w:kern w:val="2"/>
          <w:lang w:eastAsia="zh-CN"/>
        </w:rPr>
        <w:t>部门</w:t>
      </w:r>
      <w:r>
        <w:rPr>
          <w:rFonts w:hint="eastAsia" w:ascii="仿宋" w:hAnsi="仿宋" w:eastAsia="仿宋" w:cs="仿宋"/>
          <w:kern w:val="2"/>
        </w:rPr>
        <w:t>整体财务支出经费管理，提高财务资金使用绩效，根据《景德镇市财政局关于</w:t>
      </w:r>
      <w:r>
        <w:rPr>
          <w:rFonts w:hint="eastAsia" w:ascii="仿宋" w:hAnsi="仿宋" w:eastAsia="仿宋" w:cs="仿宋"/>
          <w:kern w:val="2"/>
          <w:lang w:eastAsia="zh-CN"/>
        </w:rPr>
        <w:t>市直部门开展单位自评及跟踪监控</w:t>
      </w:r>
      <w:r>
        <w:rPr>
          <w:rFonts w:hint="eastAsia" w:ascii="仿宋" w:hAnsi="仿宋" w:eastAsia="仿宋" w:cs="仿宋"/>
          <w:kern w:val="2"/>
        </w:rPr>
        <w:t>工作的通知》（景财</w:t>
      </w:r>
      <w:r>
        <w:rPr>
          <w:rFonts w:hint="eastAsia" w:ascii="仿宋" w:hAnsi="仿宋" w:eastAsia="仿宋" w:cs="仿宋"/>
          <w:kern w:val="2"/>
          <w:lang w:eastAsia="zh-CN"/>
        </w:rPr>
        <w:t>监</w:t>
      </w:r>
      <w:r>
        <w:rPr>
          <w:rFonts w:hint="eastAsia" w:ascii="仿宋" w:hAnsi="仿宋" w:eastAsia="仿宋" w:cs="仿宋"/>
          <w:kern w:val="2"/>
        </w:rPr>
        <w:t>〔20</w:t>
      </w:r>
      <w:r>
        <w:rPr>
          <w:rFonts w:hint="eastAsia" w:ascii="仿宋" w:hAnsi="仿宋" w:eastAsia="仿宋" w:cs="仿宋"/>
          <w:kern w:val="2"/>
          <w:lang w:val="en-US" w:eastAsia="zh-CN"/>
        </w:rPr>
        <w:t>22</w:t>
      </w:r>
      <w:r>
        <w:rPr>
          <w:rFonts w:hint="eastAsia" w:ascii="仿宋" w:hAnsi="仿宋" w:eastAsia="仿宋" w:cs="仿宋"/>
          <w:kern w:val="2"/>
        </w:rPr>
        <w:t>〕</w:t>
      </w:r>
      <w:r>
        <w:rPr>
          <w:rFonts w:hint="eastAsia" w:ascii="仿宋" w:hAnsi="仿宋" w:eastAsia="仿宋" w:cs="仿宋"/>
          <w:kern w:val="2"/>
          <w:lang w:val="en-US" w:eastAsia="zh-CN"/>
        </w:rPr>
        <w:t>3</w:t>
      </w:r>
      <w:r>
        <w:rPr>
          <w:rFonts w:hint="eastAsia" w:ascii="仿宋" w:hAnsi="仿宋" w:eastAsia="仿宋" w:cs="仿宋"/>
          <w:kern w:val="2"/>
        </w:rPr>
        <w:t>号）的要求</w:t>
      </w:r>
      <w:r>
        <w:rPr>
          <w:rFonts w:hint="eastAsia" w:ascii="仿宋" w:hAnsi="仿宋" w:eastAsia="仿宋" w:cs="仿宋"/>
          <w:kern w:val="2"/>
          <w:sz w:val="28"/>
          <w:szCs w:val="28"/>
          <w:lang w:val="en-US" w:eastAsia="zh-CN" w:bidi="ar-SA"/>
        </w:rPr>
        <w:t>，共青团景德镇市委员会（以下简称团市委）就本部门投入、产出、效果、满意度四个方面开展整体支出绩效自我评价，现将评价情况报告如下：</w:t>
      </w:r>
    </w:p>
    <w:p>
      <w:pPr>
        <w:keepNext w:val="0"/>
        <w:keepLines w:val="0"/>
        <w:pageBreakBefore w:val="0"/>
        <w:kinsoku/>
        <w:wordWrap/>
        <w:overflowPunct/>
        <w:topLinePunct w:val="0"/>
        <w:autoSpaceDE/>
        <w:autoSpaceDN/>
        <w:bidi w:val="0"/>
        <w:adjustRightInd/>
        <w:snapToGrid/>
        <w:spacing w:line="560" w:lineRule="exact"/>
        <w:ind w:left="-420" w:leftChars="-200" w:right="-420" w:rightChars="-200" w:firstLine="773" w:firstLineChars="275"/>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一、绩效目标情况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总目标：在市委的正确领导和团省委的精心指导下，深入贯彻落实习近平新时代中国特色社会主义思想和党十九大及十九届二中、三中、四中、五中、六中全会精神，全面落实省委、市委党代会精神和各项决策部署，以党史学习教育为先导，以服务中心大局为主线，以助力青少年发展为根本，以深化改革攻坚为内核，全面推进全市共青团工作取得新业绩。</w:t>
      </w:r>
    </w:p>
    <w:p>
      <w:pPr>
        <w:pStyle w:val="2"/>
        <w:rPr>
          <w:rFonts w:hint="default"/>
          <w:lang w:val="en-US" w:eastAsia="zh-CN"/>
        </w:rPr>
      </w:pPr>
      <w:r>
        <w:rPr>
          <w:rFonts w:hint="eastAsia" w:ascii="仿宋" w:hAnsi="仿宋" w:eastAsia="仿宋" w:cs="仿宋"/>
          <w:kern w:val="2"/>
          <w:sz w:val="28"/>
          <w:szCs w:val="28"/>
          <w:lang w:val="en-US" w:eastAsia="zh-CN" w:bidi="ar-SA"/>
        </w:rPr>
        <w:t>分目标：</w:t>
      </w:r>
    </w:p>
    <w:p>
      <w:pPr>
        <w:numPr>
          <w:ilvl w:val="0"/>
          <w:numId w:val="7"/>
        </w:numPr>
        <w:ind w:left="425" w:leftChars="0" w:hanging="425" w:firstLineChars="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以党史学习教育为先导，持续推进思想政治引领</w:t>
      </w:r>
    </w:p>
    <w:p>
      <w:pPr>
        <w:numPr>
          <w:ilvl w:val="0"/>
          <w:numId w:val="7"/>
        </w:numPr>
        <w:ind w:left="425" w:leftChars="0" w:hanging="425" w:firstLineChars="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以服务中心大局为主线，大力推动青年建功发展</w:t>
      </w:r>
    </w:p>
    <w:p>
      <w:pPr>
        <w:numPr>
          <w:ilvl w:val="0"/>
          <w:numId w:val="7"/>
        </w:numPr>
        <w:ind w:left="425" w:leftChars="0" w:hanging="425" w:firstLineChars="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以助力青少年发展为根本，更好服务成长成才需要求</w:t>
      </w:r>
    </w:p>
    <w:p>
      <w:pPr>
        <w:numPr>
          <w:ilvl w:val="0"/>
          <w:numId w:val="7"/>
        </w:numPr>
        <w:ind w:left="425" w:leftChars="0" w:hanging="425" w:firstLineChars="0"/>
        <w:rPr>
          <w:rFonts w:hint="default" w:ascii="仿宋_GB2312" w:hAnsi="仿宋_GB2312" w:eastAsia="仿宋_GB2312" w:cs="仿宋_GB2312"/>
          <w:color w:val="000000" w:themeColor="text1"/>
          <w:spacing w:val="0"/>
          <w:kern w:val="0"/>
          <w:sz w:val="32"/>
          <w:szCs w:val="32"/>
          <w:lang w:val="en-US" w:eastAsia="zh-CN"/>
        </w:rPr>
      </w:pPr>
      <w:r>
        <w:rPr>
          <w:rFonts w:hint="eastAsia" w:ascii="仿宋" w:hAnsi="仿宋" w:eastAsia="仿宋" w:cs="仿宋"/>
          <w:kern w:val="2"/>
          <w:sz w:val="28"/>
          <w:szCs w:val="28"/>
          <w:lang w:val="en-US" w:eastAsia="zh-CN" w:bidi="ar-SA"/>
        </w:rPr>
        <w:t>以深化改革攻坚为根本内核，不断夯实团的基层组织建设</w:t>
      </w:r>
    </w:p>
    <w:p>
      <w:pPr>
        <w:keepNext w:val="0"/>
        <w:keepLines w:val="0"/>
        <w:pageBreakBefore w:val="0"/>
        <w:kinsoku/>
        <w:wordWrap/>
        <w:overflowPunct/>
        <w:topLinePunct w:val="0"/>
        <w:autoSpaceDE/>
        <w:autoSpaceDN/>
        <w:bidi w:val="0"/>
        <w:adjustRightInd/>
        <w:snapToGrid/>
        <w:spacing w:line="560" w:lineRule="exact"/>
        <w:ind w:left="-420" w:leftChars="-200" w:right="-420" w:rightChars="-200" w:firstLine="773" w:firstLineChars="275"/>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bookmarkStart w:id="1" w:name="_Toc22909"/>
      <w:r>
        <w:rPr>
          <w:rFonts w:hint="eastAsia" w:ascii="仿宋" w:hAnsi="仿宋" w:eastAsia="仿宋" w:cs="仿宋"/>
          <w:b/>
          <w:bCs/>
          <w:sz w:val="28"/>
          <w:szCs w:val="28"/>
          <w:lang w:val="en-US" w:eastAsia="zh-CN"/>
        </w:rPr>
        <w:t>二、绩效自评工作开展情况</w:t>
      </w:r>
      <w:bookmarkEnd w:id="1"/>
    </w:p>
    <w:p>
      <w:pPr>
        <w:spacing w:line="560" w:lineRule="exact"/>
        <w:ind w:firstLine="560" w:firstLineChars="200"/>
        <w:outlineLvl w:val="1"/>
        <w:rPr>
          <w:rFonts w:ascii="仿宋" w:hAnsi="仿宋" w:eastAsia="仿宋" w:cs="仿宋"/>
          <w:sz w:val="28"/>
          <w:szCs w:val="28"/>
        </w:rPr>
      </w:pPr>
      <w:bookmarkStart w:id="2" w:name="_Toc14352"/>
      <w:r>
        <w:rPr>
          <w:rFonts w:hint="eastAsia" w:ascii="仿宋" w:hAnsi="仿宋" w:eastAsia="仿宋" w:cs="仿宋"/>
          <w:sz w:val="28"/>
          <w:szCs w:val="28"/>
        </w:rPr>
        <w:t>（一）绩效自评目的</w:t>
      </w:r>
      <w:bookmarkEnd w:id="2"/>
    </w:p>
    <w:p>
      <w:pPr>
        <w:pStyle w:val="17"/>
        <w:spacing w:line="560" w:lineRule="exact"/>
        <w:rPr>
          <w:rFonts w:ascii="仿宋" w:hAnsi="仿宋" w:eastAsia="仿宋" w:cs="仿宋"/>
          <w:kern w:val="2"/>
        </w:rPr>
      </w:pPr>
      <w:r>
        <w:rPr>
          <w:rFonts w:hint="eastAsia" w:ascii="仿宋" w:hAnsi="仿宋" w:eastAsia="仿宋" w:cs="仿宋"/>
          <w:kern w:val="2"/>
        </w:rPr>
        <w:t>绩效评价严格按照《财政支出绩效评价管理暂行办法》规定的相关要求进行。目的在于归纳总结、分析、自评单位财务投入、管理过程、产出和服务情况、经济效益和社会效益，肯定成绩，找出问题</w:t>
      </w:r>
      <w:r>
        <w:rPr>
          <w:rFonts w:hint="eastAsia" w:ascii="仿宋" w:hAnsi="仿宋" w:eastAsia="仿宋" w:cs="仿宋"/>
          <w:kern w:val="2"/>
          <w:lang w:eastAsia="zh-CN"/>
        </w:rPr>
        <w:t>，</w:t>
      </w:r>
      <w:r>
        <w:rPr>
          <w:rFonts w:hint="eastAsia" w:ascii="仿宋" w:hAnsi="仿宋" w:eastAsia="仿宋" w:cs="仿宋"/>
          <w:kern w:val="2"/>
        </w:rPr>
        <w:t>针对性的提出整改措施，切实做好整改工作，更好为我市</w:t>
      </w:r>
      <w:r>
        <w:rPr>
          <w:rFonts w:hint="eastAsia" w:ascii="仿宋" w:hAnsi="仿宋" w:eastAsia="仿宋" w:cs="仿宋"/>
          <w:kern w:val="2"/>
          <w:lang w:eastAsia="zh-CN"/>
        </w:rPr>
        <w:t>经济</w:t>
      </w:r>
      <w:r>
        <w:rPr>
          <w:rFonts w:hint="eastAsia" w:ascii="仿宋" w:hAnsi="仿宋" w:eastAsia="仿宋" w:cs="仿宋"/>
          <w:kern w:val="2"/>
        </w:rPr>
        <w:t>社会发展服务</w:t>
      </w:r>
      <w:r>
        <w:rPr>
          <w:rFonts w:hint="eastAsia" w:ascii="仿宋" w:hAnsi="仿宋" w:eastAsia="仿宋" w:cs="仿宋"/>
          <w:kern w:val="2"/>
          <w:lang w:eastAsia="zh-CN"/>
        </w:rPr>
        <w:t>。</w:t>
      </w:r>
    </w:p>
    <w:p>
      <w:pPr>
        <w:pStyle w:val="17"/>
        <w:spacing w:line="560" w:lineRule="exact"/>
        <w:outlineLvl w:val="1"/>
        <w:rPr>
          <w:rFonts w:ascii="仿宋" w:hAnsi="仿宋" w:eastAsia="仿宋" w:cs="仿宋"/>
          <w:kern w:val="2"/>
        </w:rPr>
      </w:pPr>
      <w:bookmarkStart w:id="3" w:name="_Toc8582"/>
      <w:r>
        <w:rPr>
          <w:rFonts w:hint="eastAsia" w:ascii="仿宋" w:hAnsi="仿宋" w:eastAsia="仿宋" w:cs="仿宋"/>
          <w:kern w:val="2"/>
        </w:rPr>
        <w:t>（二）评价原则</w:t>
      </w:r>
      <w:bookmarkEnd w:id="3"/>
      <w:r>
        <w:rPr>
          <w:rFonts w:hint="eastAsia" w:ascii="仿宋" w:hAnsi="仿宋" w:eastAsia="仿宋" w:cs="仿宋"/>
          <w:kern w:val="2"/>
        </w:rPr>
        <w:t xml:space="preserve">    </w:t>
      </w:r>
    </w:p>
    <w:p>
      <w:pPr>
        <w:pStyle w:val="17"/>
        <w:spacing w:line="560" w:lineRule="exact"/>
        <w:rPr>
          <w:rFonts w:ascii="仿宋" w:hAnsi="仿宋" w:eastAsia="仿宋" w:cs="仿宋"/>
          <w:kern w:val="2"/>
        </w:rPr>
      </w:pPr>
      <w:r>
        <w:rPr>
          <w:rFonts w:hint="eastAsia" w:ascii="仿宋" w:hAnsi="仿宋" w:eastAsia="仿宋" w:cs="仿宋"/>
          <w:kern w:val="2"/>
        </w:rPr>
        <w:t>1、秉承重要性和相关性相结合的原则，择优选择能反映被评价单位实质和核心目标的内容作为评价的主要方向和侧重点。</w:t>
      </w:r>
    </w:p>
    <w:p>
      <w:pPr>
        <w:pStyle w:val="17"/>
        <w:spacing w:line="560" w:lineRule="exact"/>
        <w:rPr>
          <w:rFonts w:ascii="仿宋" w:hAnsi="仿宋" w:eastAsia="仿宋" w:cs="仿宋"/>
          <w:kern w:val="2"/>
        </w:rPr>
      </w:pPr>
      <w:r>
        <w:rPr>
          <w:rFonts w:hint="eastAsia" w:ascii="仿宋" w:hAnsi="仿宋" w:eastAsia="仿宋" w:cs="仿宋"/>
          <w:kern w:val="2"/>
        </w:rPr>
        <w:t>2、客观资料采集和预测、评估相结合的原则，确保绩效评价的有理可循、有据可依。</w:t>
      </w:r>
    </w:p>
    <w:p>
      <w:pPr>
        <w:pStyle w:val="17"/>
        <w:spacing w:line="560" w:lineRule="exact"/>
        <w:rPr>
          <w:rFonts w:ascii="仿宋" w:hAnsi="仿宋" w:eastAsia="仿宋" w:cs="仿宋"/>
          <w:kern w:val="2"/>
        </w:rPr>
      </w:pPr>
      <w:r>
        <w:rPr>
          <w:rFonts w:hint="eastAsia" w:ascii="仿宋" w:hAnsi="仿宋" w:eastAsia="仿宋" w:cs="仿宋"/>
          <w:kern w:val="2"/>
        </w:rPr>
        <w:t>3、采用实地取数原则，对照绩效目标进行审核，形成结论和相关建议。</w:t>
      </w:r>
    </w:p>
    <w:p>
      <w:pPr>
        <w:pStyle w:val="17"/>
        <w:spacing w:line="560" w:lineRule="exact"/>
        <w:outlineLvl w:val="1"/>
        <w:rPr>
          <w:rFonts w:ascii="仿宋" w:hAnsi="仿宋" w:eastAsia="仿宋" w:cs="仿宋"/>
          <w:kern w:val="2"/>
        </w:rPr>
      </w:pPr>
      <w:bookmarkStart w:id="4" w:name="_Toc24259"/>
      <w:r>
        <w:rPr>
          <w:rFonts w:hint="eastAsia" w:ascii="仿宋" w:hAnsi="仿宋" w:eastAsia="仿宋" w:cs="仿宋"/>
          <w:kern w:val="2"/>
        </w:rPr>
        <w:t>（三）绩效评价方法</w:t>
      </w:r>
      <w:bookmarkEnd w:id="4"/>
    </w:p>
    <w:p>
      <w:pPr>
        <w:pStyle w:val="17"/>
        <w:spacing w:line="560" w:lineRule="exact"/>
        <w:rPr>
          <w:rFonts w:ascii="仿宋" w:hAnsi="仿宋" w:eastAsia="仿宋" w:cs="仿宋"/>
          <w:kern w:val="2"/>
        </w:rPr>
      </w:pPr>
      <w:r>
        <w:rPr>
          <w:rFonts w:hint="eastAsia" w:ascii="仿宋" w:hAnsi="仿宋" w:eastAsia="仿宋" w:cs="仿宋"/>
          <w:kern w:val="2"/>
          <w:lang w:eastAsia="zh-CN"/>
        </w:rPr>
        <w:t>部门</w:t>
      </w:r>
      <w:r>
        <w:rPr>
          <w:rFonts w:hint="eastAsia" w:ascii="仿宋" w:hAnsi="仿宋" w:eastAsia="仿宋" w:cs="仿宋"/>
          <w:kern w:val="2"/>
        </w:rPr>
        <w:t>整体评价坚持定量优先、定量与定性相结合的方式，始终遵循科学规范、公正公开、分类分级、绩效相关的基本原则，采取审核资料、现场勘查等配套方式，对</w:t>
      </w:r>
      <w:r>
        <w:rPr>
          <w:rFonts w:hint="eastAsia" w:ascii="仿宋" w:hAnsi="仿宋" w:eastAsia="仿宋" w:cs="仿宋"/>
          <w:kern w:val="2"/>
          <w:lang w:val="en-US" w:eastAsia="zh-CN"/>
        </w:rPr>
        <w:t>本单位</w:t>
      </w:r>
      <w:r>
        <w:rPr>
          <w:rFonts w:hint="eastAsia" w:ascii="仿宋" w:hAnsi="仿宋" w:eastAsia="仿宋" w:cs="仿宋"/>
          <w:color w:val="auto"/>
          <w:kern w:val="2"/>
          <w:lang w:val="en-US" w:eastAsia="zh-CN"/>
        </w:rPr>
        <w:t>2021年度部门</w:t>
      </w:r>
      <w:r>
        <w:rPr>
          <w:rFonts w:hint="eastAsia" w:ascii="仿宋" w:hAnsi="仿宋" w:eastAsia="仿宋" w:cs="仿宋"/>
          <w:kern w:val="2"/>
        </w:rPr>
        <w:t>整体支出工作开展综合评价。</w:t>
      </w:r>
    </w:p>
    <w:p>
      <w:pPr>
        <w:keepNext w:val="0"/>
        <w:keepLines w:val="0"/>
        <w:pageBreakBefore w:val="0"/>
        <w:kinsoku/>
        <w:wordWrap/>
        <w:overflowPunct/>
        <w:topLinePunct w:val="0"/>
        <w:autoSpaceDE/>
        <w:autoSpaceDN/>
        <w:bidi w:val="0"/>
        <w:adjustRightInd/>
        <w:snapToGrid/>
        <w:spacing w:line="560" w:lineRule="exact"/>
        <w:ind w:left="-420" w:leftChars="-200" w:right="-420" w:rightChars="-200" w:firstLine="773" w:firstLineChars="275"/>
        <w:textAlignment w:val="auto"/>
        <w:rPr>
          <w:rFonts w:hint="eastAsia" w:ascii="仿宋" w:hAnsi="仿宋" w:eastAsia="仿宋" w:cs="仿宋"/>
          <w:b/>
          <w:bCs/>
          <w:sz w:val="28"/>
          <w:szCs w:val="28"/>
          <w:lang w:val="en-US" w:eastAsia="zh-CN"/>
        </w:rPr>
      </w:pPr>
      <w:bookmarkStart w:id="5" w:name="_Toc19634"/>
      <w:r>
        <w:rPr>
          <w:rFonts w:hint="eastAsia" w:ascii="仿宋" w:hAnsi="仿宋" w:eastAsia="仿宋" w:cs="仿宋"/>
          <w:b/>
          <w:bCs/>
          <w:sz w:val="28"/>
          <w:szCs w:val="28"/>
          <w:lang w:val="en-US" w:eastAsia="zh-CN"/>
        </w:rPr>
        <w:t xml:space="preserve">三、综合评价结果 </w:t>
      </w:r>
    </w:p>
    <w:p>
      <w:pPr>
        <w:keepNext w:val="0"/>
        <w:keepLines w:val="0"/>
        <w:pageBreakBefore w:val="0"/>
        <w:kinsoku/>
        <w:wordWrap/>
        <w:overflowPunct/>
        <w:topLinePunct w:val="0"/>
        <w:autoSpaceDE/>
        <w:autoSpaceDN/>
        <w:bidi w:val="0"/>
        <w:adjustRightInd/>
        <w:snapToGrid/>
        <w:spacing w:line="560" w:lineRule="exact"/>
        <w:ind w:left="-420" w:leftChars="-200" w:right="-420" w:rightChars="-200" w:firstLine="770" w:firstLineChars="275"/>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自评遵照中央、省、市财政部门发布的绩效评价文件依据和结合本部门实际情况设计的“绩效评价指标体系及评分标准”进行校对比较、分析、评价，总体认为部门在促进共青团事业发展、服务景德镇国家陶瓷文化传承创新试验区建设等方面做了大量的工作，取得了较大的成绩，推动了共青团事业的大发展，促进了我市经济社会的发展。共青团景德镇市委员会绩效考核评价总体得分为96.93分，评价等级为“优”。</w:t>
      </w:r>
    </w:p>
    <w:p>
      <w:pPr>
        <w:keepNext w:val="0"/>
        <w:keepLines w:val="0"/>
        <w:pageBreakBefore w:val="0"/>
        <w:kinsoku/>
        <w:wordWrap/>
        <w:overflowPunct/>
        <w:topLinePunct w:val="0"/>
        <w:autoSpaceDE/>
        <w:autoSpaceDN/>
        <w:bidi w:val="0"/>
        <w:adjustRightInd/>
        <w:snapToGrid/>
        <w:spacing w:line="560" w:lineRule="exact"/>
        <w:ind w:left="-420" w:leftChars="-200" w:right="-420" w:rightChars="-200" w:firstLine="773" w:firstLineChars="275"/>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四、</w:t>
      </w:r>
      <w:bookmarkEnd w:id="5"/>
      <w:r>
        <w:rPr>
          <w:rFonts w:hint="eastAsia" w:ascii="仿宋" w:hAnsi="仿宋" w:eastAsia="仿宋" w:cs="仿宋"/>
          <w:b/>
          <w:bCs/>
          <w:sz w:val="28"/>
          <w:szCs w:val="28"/>
          <w:lang w:val="en-US" w:eastAsia="zh-CN"/>
        </w:rPr>
        <w:t>绩效自评结果分析</w:t>
      </w:r>
    </w:p>
    <w:p>
      <w:pPr>
        <w:keepNext w:val="0"/>
        <w:keepLines w:val="0"/>
        <w:pageBreakBefore w:val="0"/>
        <w:kinsoku/>
        <w:wordWrap/>
        <w:overflowPunct/>
        <w:topLinePunct w:val="0"/>
        <w:autoSpaceDE/>
        <w:autoSpaceDN/>
        <w:bidi w:val="0"/>
        <w:adjustRightInd/>
        <w:snapToGrid/>
        <w:spacing w:line="560" w:lineRule="exact"/>
        <w:ind w:left="-420" w:leftChars="-200" w:right="-420" w:rightChars="-200" w:firstLine="770" w:firstLineChars="275"/>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（一）主要经验与做法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一、以“党史学习教育”为先导，持续推进思想政治引领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党史学习全面铺开、抓常抓长。一方面组织召开团市委十五届四次全体（扩大）会议暨党史学习教育动员大会，对全市共青团系统党史学习教育进行全面动员部署。另一方面，把握重要时间节点，指导各级团、队组织开展教育活动，推动青少年党史学习教育走深走实。2.主题实践深化开展、入脑入心。在线上，线下齐发力。3.选优树强成绩喜人，广受好评。选树市级优秀个人210人、集体30个，创业致富示范基地4个。在向上推报中，全市共有1个团组织获全国优秀团支部（浮梁县青年志愿者协会团支部），1名个人获全国优秀共青团员（余丽），1个单位获全国青年文明号（浮梁县消防救援大队），1名同志获全国科普工作先进工作者（吴春晓），市青少年宫获全国少年儿童主题教育活动先进集体、年度少年儿童校外教育先进集体，1名青年获全省五四青年奖章（秦俊），2个团组织获全省五四红旗团委（团浮梁县委、景德镇市昌河中学团委），3个团组织获全省五四红旗团支部（市昌江区疾病预防控制中心团支部、浮梁县鹅湖真界田村团支部、市昌江二中2019级1班团支部），3名青年获全省优秀共青团员（吕辉、徐雨婷、欧阳博菲），3名青年获全省优秀共青团干部（徐海丰、叶彬彬、胡丽娟），推报6名青年为全省赣鄱乡村好青年，推荐5个单位为全省青年文明号候选集体等，获得荣誉的层次和数量均创新高，为全市团青工作和广大青年树立榜样。在此基础上，开展“十杰青年进校园”宣讲等活动，引导团员青年坚定理想信念，继承革命传统，树立向上向善向美的价值追求，听党话，跟党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二、以“服务中心大局”为主线，大力推动青年建功发展。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服务旅发会，展现青春风采。团市委整体承接2021年全省旅游产业发展大会志愿服务工作，在市委市政府关于省旅发会的表彰中，团市委荣获集体二等奖，全市16名团干部分获一等奖、嘉奖及通报表扬，40名志愿者受到表彰的荣誉等次和规模均创业绩新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成立突击队，彰显青春担当。市县两级共组建赣青突击队20余支，队员300多人；重点项目突击队9支，队员约200人。结合当前省、市中心大局和青年工作实际，在重点建设项目中积极发挥青年突击队作用、常态化开展应急救援等工作，努力把我市的赣青突击队打造成一支反应迅速、具备专业救援能力、敢于担当奉献的过硬青年队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服务城市建设，做好青春表率。一是围绕瓷都产业转型发展，在大中型企业中广泛开展青年岗位建功活动，围绕市委“3+1+X”产业发展，引导青年立足岗位创新创效。二是开展市、县两级政务（行政）服务中心志愿服务站建立及运行工作，实现全覆盖。三是常态化推进文明城市复评和材料申报，团市委机关干部带头并组织青年志愿者开展交通志愿岗值守、路长制巡查，多次获评全市红榜。在市委市政府关于创成全国文明城市的表彰中，团市委荣获先进单位；在创建国家卫生城市的表彰中，团市委荣获嘉奖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4.助力瓷博会，参加百年特展。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三、以“助力青少年发展”为根本，更好服务成长成才需求。1.加强青年人才学习交流。2.开展助困帮扶工作。3.做好“预防青少年违法犯罪工作”。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四、以“深化改革攻坚”为内核，不断夯实团的基层组织建设。1.聚焦顶层设计，营造更强态势。2.聚焦固本强基，力行更实团建。3.聚焦体制机制，塑造更优格局。4.聚焦从严治团，锻造更好队伍。</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1"/>
        <w:rPr>
          <w:rFonts w:hint="eastAsia" w:eastAsia="仿宋_GB2312"/>
          <w:szCs w:val="21"/>
        </w:rPr>
      </w:pPr>
      <w:r>
        <w:rPr>
          <w:rFonts w:hint="eastAsia" w:ascii="仿宋" w:hAnsi="仿宋" w:eastAsia="仿宋" w:cs="仿宋"/>
          <w:b/>
          <w:bCs/>
          <w:sz w:val="30"/>
          <w:szCs w:val="30"/>
          <w:lang w:val="en-US" w:eastAsia="zh-CN"/>
        </w:rPr>
        <w:t>（二）主要存在问题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（1）工作思路不够开阔，调查研究还需更细致深入，活动形式针对性相对不足。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（3）基层团建待加强，尤其是新型青年组织，滞后于客观形势的发展。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（3）预算绩效目标设置改进。部门整体支出绩效目标基础和依据不够出发，年度工作任务没有分解到内部机构岗位人员身上，预算金额不够精确。　</w:t>
      </w:r>
    </w:p>
    <w:p>
      <w:pPr>
        <w:pStyle w:val="17"/>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1"/>
        <w:rPr>
          <w:rFonts w:hint="eastAsia" w:ascii="仿宋" w:hAnsi="仿宋" w:eastAsia="仿宋" w:cs="仿宋"/>
          <w:b/>
          <w:bCs/>
          <w:kern w:val="0"/>
          <w:sz w:val="30"/>
          <w:szCs w:val="30"/>
          <w:lang w:val="en-US" w:eastAsia="zh-CN" w:bidi="ar-SA"/>
        </w:rPr>
      </w:pPr>
      <w:r>
        <w:rPr>
          <w:rFonts w:hint="eastAsia" w:ascii="仿宋" w:hAnsi="仿宋" w:eastAsia="仿宋" w:cs="仿宋"/>
          <w:b/>
          <w:bCs/>
          <w:kern w:val="0"/>
          <w:sz w:val="30"/>
          <w:szCs w:val="30"/>
          <w:lang w:val="en-US" w:eastAsia="zh-CN" w:bidi="ar-SA"/>
        </w:rPr>
        <w:t>改进措施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1.实施“青马工程”。稳步推进</w:t>
      </w:r>
      <w:r>
        <w:rPr>
          <w:rFonts w:hint="eastAsia" w:ascii="仿宋" w:hAnsi="仿宋" w:eastAsia="仿宋" w:cs="仿宋"/>
          <w:kern w:val="2"/>
          <w:sz w:val="28"/>
          <w:szCs w:val="28"/>
          <w:lang w:val="zh-CN" w:eastAsia="zh-CN" w:bidi="ar-SA"/>
        </w:rPr>
        <w:t>“青</w:t>
      </w:r>
      <w:r>
        <w:rPr>
          <w:rFonts w:hint="eastAsia" w:ascii="仿宋" w:hAnsi="仿宋" w:eastAsia="仿宋" w:cs="仿宋"/>
          <w:kern w:val="2"/>
          <w:sz w:val="28"/>
          <w:szCs w:val="28"/>
          <w:lang w:val="en-US" w:eastAsia="zh-CN" w:bidi="ar-SA"/>
        </w:rPr>
        <w:t>年大学习”升级扩面。</w:t>
      </w:r>
      <w:r>
        <w:rPr>
          <w:rFonts w:hint="eastAsia" w:ascii="仿宋" w:hAnsi="仿宋" w:eastAsia="仿宋" w:cs="仿宋"/>
          <w:kern w:val="2"/>
          <w:sz w:val="28"/>
          <w:szCs w:val="28"/>
          <w:lang w:val="zh-CN" w:eastAsia="zh-CN" w:bidi="ar-SA"/>
        </w:rPr>
        <w:t>坚持把习近平新时代中国特色社会主义思想作为必修课、主修课，</w:t>
      </w:r>
      <w:r>
        <w:rPr>
          <w:rFonts w:hint="eastAsia" w:ascii="仿宋" w:hAnsi="仿宋" w:eastAsia="仿宋" w:cs="仿宋"/>
          <w:kern w:val="2"/>
          <w:sz w:val="28"/>
          <w:szCs w:val="28"/>
          <w:lang w:val="en-US" w:eastAsia="zh-CN" w:bidi="ar-SA"/>
        </w:rPr>
        <w:t>健全完善共青团“六学”体系，面向团员青年广泛开展学习宣传教育，加强网络主题活动和网上主题团课推广。深化青年马克思主义者培养工程，加强青年党性教育、理论学习、实践锻炼等系统化培养。重点聚焦团干部、青年骨干、少先队辅导员等青年群体，组建青年讲师团，推进宣讲进基层、进校园、进厂矿，举办市、县示范班，扎实培养青年青马工程骨干。</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落实党的意识形态工作责任制。加强瓷都共青团网宣工作队伍建设，抓好舆情监控、信息报送、应对处理、责任追究等工作，维护青年工作领域政治安全。健全重点青少年群体意识形态的分析机制，提升高校青年意识形态工作研究，加强思政引领。落实好青年统一战线工作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投身“国家试验区”建设。以打造全国“筑梦计划”试点城市为契机，挖掘和扶持优秀青年艺术组织，在深化陶瓷公益课堂、音乐公益课堂、书法公益课堂的基础上不断拓展平台并丰富内容供应。组织青年参与“创青年”“挑战杯”等创新创业大赛，深化青年文明号、青年岗位能手、导师带徒等创评活动，激励广大青年立足岗位创先创优。发挥各级青联、青志协、青创协作用，不断充实瓷都青年人才库，团结凝聚景漂、景归青年，加快走出去、引进来的步伐，引领瓷都青年做“国际瓷都”的先锋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推动《我市江西省中长期青年发展规划（2018-2025）的实施意见》纵深实施。积极推动第三次市级青年工作联席会有关部署要求落地见效，围绕全市第三次青年发展联席会议通过的2个实施方案和2022年目标任务，统筹协调、有力推进，争创青年发展友好型城市。注重青年成长平台建设、青年服务项目化、青少年权益维护机制完善等方面，推动团的工作面向青年、贴近青年，不断优化服务供给，提升服务能力，让青年在共享改革发展成果中增强获得感。有序推进“青年之家”建设和活动打卡，并至少实施1项青年民生实事项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积极回应青年现实需求。深化实施”童心港湾“情暖童心”“微心愿”等品牌项目。建设青少年事务社工队伍，提升服务青年专业化能力。每个县（市区）开展不少于一场“爱在赣鄱，团团有约”青年婚恋交友活动并建设不少于一个“青年之家”。深化暑期“三下乡”“千校万岗”大学生就业帮扶、大学生“三走”等活动。加强团属未成年人校外活动场所和团属协会阵地的建设与管理，促进其与共青团和少先队工作有效融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推进新时代团员先进性建设。做好经常性发展团员工作，年底前初中毕业班团学比控制在20%以内，高中毕业班团学比控制在40%以内。规范开展中学团课教育，组织参加全省“微团课”大赛。做好团员接转工作，确保学社衔接率达到98%以上。依规稳妥开展违规违纪团员组织处置和纪律处分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提高全面预算管理的重视程度。建立以绩效为导向的预算编制模式。从项目绩效评价制度入手，借鉴其他部门在绩效管理方面的经验和做法，制定机关统一的绩效考评制度，并将其贯彻到预算申请、预算分配、项目实施和绩效考评的全过程。</w:t>
      </w:r>
    </w:p>
    <w:p>
      <w:pPr>
        <w:pStyle w:val="2"/>
        <w:rPr>
          <w:rFonts w:hint="eastAsia" w:ascii="仿宋_GB2312" w:hAnsi="仿宋_GB2312" w:eastAsia="仿宋_GB2312" w:cs="仿宋_GB2312"/>
          <w:kern w:val="0"/>
          <w:sz w:val="30"/>
          <w:szCs w:val="30"/>
          <w:lang w:eastAsia="zh-CN"/>
        </w:rPr>
      </w:pPr>
    </w:p>
    <w:tbl>
      <w:tblPr>
        <w:tblStyle w:val="7"/>
        <w:tblW w:w="9297" w:type="dxa"/>
        <w:jc w:val="center"/>
        <w:tblLayout w:type="fixed"/>
        <w:tblCellMar>
          <w:top w:w="0" w:type="dxa"/>
          <w:left w:w="108" w:type="dxa"/>
          <w:bottom w:w="0" w:type="dxa"/>
          <w:right w:w="108" w:type="dxa"/>
        </w:tblCellMar>
      </w:tblPr>
      <w:tblGrid>
        <w:gridCol w:w="588"/>
        <w:gridCol w:w="727"/>
        <w:gridCol w:w="914"/>
        <w:gridCol w:w="1181"/>
        <w:gridCol w:w="1134"/>
        <w:gridCol w:w="284"/>
        <w:gridCol w:w="783"/>
        <w:gridCol w:w="918"/>
        <w:gridCol w:w="283"/>
        <w:gridCol w:w="284"/>
        <w:gridCol w:w="425"/>
        <w:gridCol w:w="142"/>
        <w:gridCol w:w="709"/>
        <w:gridCol w:w="925"/>
      </w:tblGrid>
      <w:tr>
        <w:tblPrEx>
          <w:tblCellMar>
            <w:top w:w="0" w:type="dxa"/>
            <w:left w:w="108" w:type="dxa"/>
            <w:bottom w:w="0" w:type="dxa"/>
            <w:right w:w="108" w:type="dxa"/>
          </w:tblCellMar>
        </w:tblPrEx>
        <w:trPr>
          <w:trHeight w:val="454" w:hRule="exact"/>
          <w:jc w:val="center"/>
        </w:trPr>
        <w:tc>
          <w:tcPr>
            <w:tcW w:w="9297" w:type="dxa"/>
            <w:gridSpan w:val="14"/>
            <w:tcBorders>
              <w:top w:val="nil"/>
              <w:left w:val="nil"/>
              <w:bottom w:val="nil"/>
              <w:right w:val="nil"/>
            </w:tcBorders>
            <w:noWrap/>
            <w:vAlign w:val="center"/>
          </w:tcPr>
          <w:p>
            <w:pPr>
              <w:widowControl/>
              <w:spacing w:line="320" w:lineRule="exact"/>
              <w:jc w:val="center"/>
              <w:rPr>
                <w:rFonts w:ascii="仿宋" w:hAnsi="仿宋" w:eastAsia="仿宋" w:cs="仿宋"/>
                <w:b/>
                <w:bCs/>
                <w:kern w:val="0"/>
                <w:sz w:val="32"/>
                <w:szCs w:val="32"/>
              </w:rPr>
            </w:pPr>
            <w:r>
              <w:rPr>
                <w:rFonts w:hint="eastAsia" w:ascii="仿宋" w:hAnsi="仿宋" w:eastAsia="仿宋" w:cs="仿宋"/>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297" w:type="dxa"/>
            <w:gridSpan w:val="14"/>
            <w:tcBorders>
              <w:top w:val="nil"/>
              <w:left w:val="nil"/>
              <w:bottom w:val="nil"/>
              <w:right w:val="nil"/>
            </w:tcBorders>
            <w:noWrap/>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 2021年度）</w:t>
            </w:r>
          </w:p>
        </w:tc>
      </w:tr>
      <w:tr>
        <w:tblPrEx>
          <w:tblCellMar>
            <w:top w:w="0" w:type="dxa"/>
            <w:left w:w="108" w:type="dxa"/>
            <w:bottom w:w="0" w:type="dxa"/>
            <w:right w:w="108" w:type="dxa"/>
          </w:tblCellMar>
        </w:tblPrEx>
        <w:trPr>
          <w:trHeight w:val="480" w:hRule="atLeast"/>
          <w:jc w:val="center"/>
        </w:trPr>
        <w:tc>
          <w:tcPr>
            <w:tcW w:w="131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项目名称</w:t>
            </w:r>
          </w:p>
        </w:tc>
        <w:tc>
          <w:tcPr>
            <w:tcW w:w="798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共青团改革工作经费</w:t>
            </w:r>
          </w:p>
        </w:tc>
      </w:tr>
      <w:tr>
        <w:tblPrEx>
          <w:tblCellMar>
            <w:top w:w="0" w:type="dxa"/>
            <w:left w:w="108" w:type="dxa"/>
            <w:bottom w:w="0" w:type="dxa"/>
            <w:right w:w="108" w:type="dxa"/>
          </w:tblCellMar>
        </w:tblPrEx>
        <w:trPr>
          <w:trHeight w:val="480" w:hRule="atLeast"/>
          <w:jc w:val="center"/>
        </w:trPr>
        <w:tc>
          <w:tcPr>
            <w:tcW w:w="131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主管部门</w:t>
            </w:r>
          </w:p>
        </w:tc>
        <w:tc>
          <w:tcPr>
            <w:tcW w:w="4296"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共青团景德镇市委</w:t>
            </w:r>
          </w:p>
        </w:tc>
        <w:tc>
          <w:tcPr>
            <w:tcW w:w="1201"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实施单位</w:t>
            </w:r>
          </w:p>
        </w:tc>
        <w:tc>
          <w:tcPr>
            <w:tcW w:w="2485"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共青团景德镇市委</w:t>
            </w:r>
          </w:p>
        </w:tc>
      </w:tr>
      <w:tr>
        <w:tblPrEx>
          <w:tblCellMar>
            <w:top w:w="0" w:type="dxa"/>
            <w:left w:w="108" w:type="dxa"/>
            <w:bottom w:w="0" w:type="dxa"/>
            <w:right w:w="108" w:type="dxa"/>
          </w:tblCellMar>
        </w:tblPrEx>
        <w:trPr>
          <w:trHeight w:val="480" w:hRule="atLeast"/>
          <w:jc w:val="center"/>
        </w:trPr>
        <w:tc>
          <w:tcPr>
            <w:tcW w:w="1315"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项目资金</w:t>
            </w:r>
            <w:r>
              <w:rPr>
                <w:rFonts w:hint="eastAsia" w:ascii="仿宋" w:hAnsi="仿宋" w:eastAsia="仿宋" w:cs="仿宋"/>
                <w:kern w:val="0"/>
                <w:sz w:val="18"/>
                <w:szCs w:val="18"/>
              </w:rPr>
              <w:br w:type="textWrapping"/>
            </w:r>
            <w:r>
              <w:rPr>
                <w:rFonts w:hint="eastAsia" w:ascii="仿宋" w:hAnsi="仿宋" w:eastAsia="仿宋" w:cs="仿宋"/>
                <w:kern w:val="0"/>
                <w:sz w:val="18"/>
                <w:szCs w:val="18"/>
              </w:rPr>
              <w:t>（万元）</w:t>
            </w:r>
          </w:p>
        </w:tc>
        <w:tc>
          <w:tcPr>
            <w:tcW w:w="2095"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年初预算数</w:t>
            </w:r>
          </w:p>
        </w:tc>
        <w:tc>
          <w:tcPr>
            <w:tcW w:w="10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全年预算数</w:t>
            </w:r>
          </w:p>
        </w:tc>
        <w:tc>
          <w:tcPr>
            <w:tcW w:w="1201"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执行率</w:t>
            </w:r>
          </w:p>
        </w:tc>
        <w:tc>
          <w:tcPr>
            <w:tcW w:w="925" w:type="dxa"/>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得分</w:t>
            </w:r>
          </w:p>
        </w:tc>
      </w:tr>
      <w:tr>
        <w:tblPrEx>
          <w:tblCellMar>
            <w:top w:w="0" w:type="dxa"/>
            <w:left w:w="108" w:type="dxa"/>
            <w:bottom w:w="0" w:type="dxa"/>
            <w:right w:w="108" w:type="dxa"/>
          </w:tblCellMar>
        </w:tblPrEx>
        <w:trPr>
          <w:trHeight w:val="480" w:hRule="atLeast"/>
          <w:jc w:val="center"/>
        </w:trPr>
        <w:tc>
          <w:tcPr>
            <w:tcW w:w="1315"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p>
        </w:tc>
        <w:tc>
          <w:tcPr>
            <w:tcW w:w="2095"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仿宋" w:hAnsi="仿宋" w:eastAsia="仿宋" w:cs="仿宋"/>
                <w:kern w:val="0"/>
                <w:sz w:val="18"/>
                <w:szCs w:val="18"/>
              </w:rPr>
            </w:pPr>
            <w:r>
              <w:rPr>
                <w:rFonts w:hint="eastAsia" w:ascii="仿宋" w:hAnsi="仿宋" w:eastAsia="仿宋" w:cs="仿宋"/>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42</w:t>
            </w:r>
          </w:p>
        </w:tc>
        <w:tc>
          <w:tcPr>
            <w:tcW w:w="10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42</w:t>
            </w:r>
          </w:p>
        </w:tc>
        <w:tc>
          <w:tcPr>
            <w:tcW w:w="1201"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42</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100%</w:t>
            </w:r>
          </w:p>
        </w:tc>
        <w:tc>
          <w:tcPr>
            <w:tcW w:w="925" w:type="dxa"/>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10</w:t>
            </w:r>
          </w:p>
        </w:tc>
      </w:tr>
      <w:tr>
        <w:tblPrEx>
          <w:tblCellMar>
            <w:top w:w="0" w:type="dxa"/>
            <w:left w:w="108" w:type="dxa"/>
            <w:bottom w:w="0" w:type="dxa"/>
            <w:right w:w="108" w:type="dxa"/>
          </w:tblCellMar>
        </w:tblPrEx>
        <w:trPr>
          <w:trHeight w:val="480" w:hRule="atLeast"/>
          <w:jc w:val="center"/>
        </w:trPr>
        <w:tc>
          <w:tcPr>
            <w:tcW w:w="1315"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p>
        </w:tc>
        <w:tc>
          <w:tcPr>
            <w:tcW w:w="2095"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42</w:t>
            </w:r>
          </w:p>
        </w:tc>
        <w:tc>
          <w:tcPr>
            <w:tcW w:w="10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42</w:t>
            </w:r>
          </w:p>
        </w:tc>
        <w:tc>
          <w:tcPr>
            <w:tcW w:w="1201"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100%</w:t>
            </w:r>
          </w:p>
        </w:tc>
        <w:tc>
          <w:tcPr>
            <w:tcW w:w="925" w:type="dxa"/>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w:t>
            </w:r>
          </w:p>
        </w:tc>
      </w:tr>
      <w:tr>
        <w:tblPrEx>
          <w:tblCellMar>
            <w:top w:w="0" w:type="dxa"/>
            <w:left w:w="108" w:type="dxa"/>
            <w:bottom w:w="0" w:type="dxa"/>
            <w:right w:w="108" w:type="dxa"/>
          </w:tblCellMar>
        </w:tblPrEx>
        <w:trPr>
          <w:trHeight w:val="480" w:hRule="atLeast"/>
          <w:jc w:val="center"/>
        </w:trPr>
        <w:tc>
          <w:tcPr>
            <w:tcW w:w="1315"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p>
        </w:tc>
        <w:tc>
          <w:tcPr>
            <w:tcW w:w="2095"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p>
        </w:tc>
        <w:tc>
          <w:tcPr>
            <w:tcW w:w="10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p>
        </w:tc>
        <w:tc>
          <w:tcPr>
            <w:tcW w:w="1201"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p>
        </w:tc>
        <w:tc>
          <w:tcPr>
            <w:tcW w:w="925" w:type="dxa"/>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w:t>
            </w:r>
          </w:p>
        </w:tc>
      </w:tr>
      <w:tr>
        <w:tblPrEx>
          <w:tblCellMar>
            <w:top w:w="0" w:type="dxa"/>
            <w:left w:w="108" w:type="dxa"/>
            <w:bottom w:w="0" w:type="dxa"/>
            <w:right w:w="108" w:type="dxa"/>
          </w:tblCellMar>
        </w:tblPrEx>
        <w:trPr>
          <w:trHeight w:val="480" w:hRule="atLeast"/>
          <w:jc w:val="center"/>
        </w:trPr>
        <w:tc>
          <w:tcPr>
            <w:tcW w:w="1315"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p>
        </w:tc>
        <w:tc>
          <w:tcPr>
            <w:tcW w:w="2095"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 xml:space="preserve">  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p>
        </w:tc>
        <w:tc>
          <w:tcPr>
            <w:tcW w:w="10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p>
        </w:tc>
        <w:tc>
          <w:tcPr>
            <w:tcW w:w="1201"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p>
        </w:tc>
        <w:tc>
          <w:tcPr>
            <w:tcW w:w="925" w:type="dxa"/>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w:t>
            </w:r>
          </w:p>
        </w:tc>
      </w:tr>
      <w:tr>
        <w:tblPrEx>
          <w:tblCellMar>
            <w:top w:w="0" w:type="dxa"/>
            <w:left w:w="108" w:type="dxa"/>
            <w:bottom w:w="0" w:type="dxa"/>
            <w:right w:w="108" w:type="dxa"/>
          </w:tblCellMar>
        </w:tblPrEx>
        <w:trPr>
          <w:trHeight w:val="607" w:hRule="exact"/>
          <w:jc w:val="center"/>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年度总体目标</w:t>
            </w:r>
          </w:p>
        </w:tc>
        <w:tc>
          <w:tcPr>
            <w:tcW w:w="5023"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预期目标</w:t>
            </w:r>
          </w:p>
        </w:tc>
        <w:tc>
          <w:tcPr>
            <w:tcW w:w="3686"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实际完成情况</w:t>
            </w:r>
          </w:p>
        </w:tc>
      </w:tr>
      <w:tr>
        <w:tblPrEx>
          <w:tblCellMar>
            <w:top w:w="0" w:type="dxa"/>
            <w:left w:w="108" w:type="dxa"/>
            <w:bottom w:w="0" w:type="dxa"/>
            <w:right w:w="108" w:type="dxa"/>
          </w:tblCellMar>
        </w:tblPrEx>
        <w:trPr>
          <w:trHeight w:val="1444" w:hRule="exact"/>
          <w:jc w:val="center"/>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p>
        </w:tc>
        <w:tc>
          <w:tcPr>
            <w:tcW w:w="5023"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仿宋"/>
                <w:kern w:val="0"/>
                <w:sz w:val="18"/>
                <w:szCs w:val="18"/>
              </w:rPr>
            </w:pPr>
            <w:r>
              <w:rPr>
                <w:rFonts w:hint="eastAsia" w:ascii="仿宋" w:hAnsi="仿宋" w:eastAsia="仿宋" w:cs="仿宋"/>
                <w:sz w:val="20"/>
              </w:rPr>
              <w:t>目标1：强化团的引领力； 目标2：提升团的贡献力； 目标3：深化团的服务力； 目标4：夯实团的组织力； 目标5：提高团的品牌力</w:t>
            </w:r>
          </w:p>
        </w:tc>
        <w:tc>
          <w:tcPr>
            <w:tcW w:w="3686" w:type="dxa"/>
            <w:gridSpan w:val="7"/>
            <w:tcBorders>
              <w:top w:val="single" w:color="auto" w:sz="4" w:space="0"/>
              <w:left w:val="nil"/>
              <w:bottom w:val="single" w:color="auto" w:sz="4" w:space="0"/>
              <w:right w:val="single" w:color="auto" w:sz="4" w:space="0"/>
            </w:tcBorders>
            <w:noWrap/>
            <w:vAlign w:val="center"/>
          </w:tcPr>
          <w:p>
            <w:pPr>
              <w:widowControl/>
              <w:spacing w:line="240" w:lineRule="exact"/>
              <w:rPr>
                <w:rFonts w:ascii="仿宋" w:hAnsi="仿宋" w:eastAsia="仿宋" w:cs="仿宋"/>
                <w:kern w:val="0"/>
                <w:sz w:val="18"/>
                <w:szCs w:val="18"/>
              </w:rPr>
            </w:pPr>
          </w:p>
        </w:tc>
      </w:tr>
      <w:tr>
        <w:tblPrEx>
          <w:tblCellMar>
            <w:top w:w="0" w:type="dxa"/>
            <w:left w:w="108" w:type="dxa"/>
            <w:bottom w:w="0" w:type="dxa"/>
            <w:right w:w="108" w:type="dxa"/>
          </w:tblCellMar>
        </w:tblPrEx>
        <w:trPr>
          <w:trHeight w:val="720" w:hRule="atLeast"/>
          <w:jc w:val="center"/>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绩</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效</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指</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w:t>
            </w:r>
          </w:p>
        </w:tc>
        <w:tc>
          <w:tcPr>
            <w:tcW w:w="727" w:type="dxa"/>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一级指标</w:t>
            </w:r>
          </w:p>
        </w:tc>
        <w:tc>
          <w:tcPr>
            <w:tcW w:w="914" w:type="dxa"/>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二级指标</w:t>
            </w:r>
          </w:p>
        </w:tc>
        <w:tc>
          <w:tcPr>
            <w:tcW w:w="2599"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三级指标</w:t>
            </w:r>
          </w:p>
        </w:tc>
        <w:tc>
          <w:tcPr>
            <w:tcW w:w="783" w:type="dxa"/>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年度</w:t>
            </w:r>
          </w:p>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指标值</w:t>
            </w:r>
          </w:p>
        </w:tc>
        <w:tc>
          <w:tcPr>
            <w:tcW w:w="918" w:type="dxa"/>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实际</w:t>
            </w:r>
          </w:p>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得分</w:t>
            </w:r>
          </w:p>
        </w:tc>
        <w:tc>
          <w:tcPr>
            <w:tcW w:w="1634"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偏差原因分析及改进措施</w:t>
            </w:r>
          </w:p>
        </w:tc>
      </w:tr>
      <w:tr>
        <w:tblPrEx>
          <w:tblCellMar>
            <w:top w:w="0" w:type="dxa"/>
            <w:left w:w="108" w:type="dxa"/>
            <w:bottom w:w="0" w:type="dxa"/>
            <w:right w:w="108" w:type="dxa"/>
          </w:tblCellMar>
        </w:tblPrEx>
        <w:trPr>
          <w:trHeight w:val="720" w:hRule="atLeas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p>
        </w:tc>
        <w:tc>
          <w:tcPr>
            <w:tcW w:w="727"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产出指标</w:t>
            </w:r>
          </w:p>
        </w:tc>
        <w:tc>
          <w:tcPr>
            <w:tcW w:w="914"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数量指标</w:t>
            </w:r>
          </w:p>
        </w:tc>
        <w:tc>
          <w:tcPr>
            <w:tcW w:w="2599"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仿宋"/>
                <w:color w:val="000000"/>
                <w:kern w:val="0"/>
                <w:sz w:val="18"/>
                <w:szCs w:val="18"/>
              </w:rPr>
            </w:pPr>
            <w:r>
              <w:rPr>
                <w:rFonts w:hint="eastAsia" w:ascii="仿宋" w:hAnsi="仿宋" w:eastAsia="仿宋" w:cs="仿宋"/>
                <w:sz w:val="20"/>
              </w:rPr>
              <w:t>累计发放青年小额贷款</w:t>
            </w:r>
          </w:p>
        </w:tc>
        <w:tc>
          <w:tcPr>
            <w:tcW w:w="783" w:type="dxa"/>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1.3亿</w:t>
            </w:r>
          </w:p>
        </w:tc>
        <w:tc>
          <w:tcPr>
            <w:tcW w:w="918" w:type="dxa"/>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≥80%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20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1634"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p>
        </w:tc>
      </w:tr>
      <w:tr>
        <w:tblPrEx>
          <w:tblCellMar>
            <w:top w:w="0" w:type="dxa"/>
            <w:left w:w="108" w:type="dxa"/>
            <w:bottom w:w="0" w:type="dxa"/>
            <w:right w:w="108" w:type="dxa"/>
          </w:tblCellMar>
        </w:tblPrEx>
        <w:trPr>
          <w:trHeight w:val="720" w:hRule="atLeas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p>
        </w:tc>
        <w:tc>
          <w:tcPr>
            <w:tcW w:w="727"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p>
        </w:tc>
        <w:tc>
          <w:tcPr>
            <w:tcW w:w="914"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质量指标</w:t>
            </w:r>
          </w:p>
        </w:tc>
        <w:tc>
          <w:tcPr>
            <w:tcW w:w="2599"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仿宋"/>
                <w:color w:val="000000"/>
                <w:kern w:val="0"/>
                <w:sz w:val="18"/>
                <w:szCs w:val="18"/>
              </w:rPr>
            </w:pPr>
            <w:r>
              <w:rPr>
                <w:rFonts w:hint="eastAsia" w:ascii="仿宋" w:hAnsi="仿宋" w:eastAsia="仿宋" w:cs="仿宋"/>
                <w:sz w:val="20"/>
              </w:rPr>
              <w:t>对团组织关系核查整顿率</w:t>
            </w:r>
          </w:p>
        </w:tc>
        <w:tc>
          <w:tcPr>
            <w:tcW w:w="783" w:type="dxa"/>
            <w:tcBorders>
              <w:top w:val="nil"/>
              <w:left w:val="nil"/>
              <w:bottom w:val="single" w:color="auto" w:sz="4" w:space="0"/>
              <w:right w:val="single" w:color="auto" w:sz="4" w:space="0"/>
            </w:tcBorders>
            <w:noWrap/>
            <w:vAlign w:val="center"/>
          </w:tcPr>
          <w:p>
            <w:pPr>
              <w:widowControl/>
              <w:spacing w:line="240" w:lineRule="exact"/>
              <w:rPr>
                <w:rFonts w:ascii="仿宋" w:hAnsi="仿宋" w:eastAsia="仿宋" w:cs="仿宋"/>
                <w:kern w:val="0"/>
                <w:sz w:val="18"/>
                <w:szCs w:val="18"/>
              </w:rPr>
            </w:pPr>
            <w:r>
              <w:rPr>
                <w:rFonts w:hint="eastAsia" w:ascii="仿宋" w:hAnsi="仿宋" w:eastAsia="仿宋" w:cs="仿宋"/>
                <w:kern w:val="0"/>
                <w:sz w:val="18"/>
                <w:szCs w:val="18"/>
              </w:rPr>
              <w:t>100%</w:t>
            </w:r>
          </w:p>
        </w:tc>
        <w:tc>
          <w:tcPr>
            <w:tcW w:w="918" w:type="dxa"/>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≥95%</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20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1634"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p>
        </w:tc>
      </w:tr>
      <w:tr>
        <w:tblPrEx>
          <w:tblCellMar>
            <w:top w:w="0" w:type="dxa"/>
            <w:left w:w="108" w:type="dxa"/>
            <w:bottom w:w="0" w:type="dxa"/>
            <w:right w:w="108" w:type="dxa"/>
          </w:tblCellMar>
        </w:tblPrEx>
        <w:trPr>
          <w:trHeight w:val="720" w:hRule="atLeas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p>
        </w:tc>
        <w:tc>
          <w:tcPr>
            <w:tcW w:w="727"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p>
        </w:tc>
        <w:tc>
          <w:tcPr>
            <w:tcW w:w="914"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时效指标</w:t>
            </w:r>
          </w:p>
        </w:tc>
        <w:tc>
          <w:tcPr>
            <w:tcW w:w="2599"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仿宋"/>
                <w:color w:val="000000"/>
                <w:kern w:val="0"/>
                <w:sz w:val="18"/>
                <w:szCs w:val="18"/>
              </w:rPr>
            </w:pPr>
            <w:r>
              <w:rPr>
                <w:rFonts w:hint="eastAsia" w:ascii="仿宋" w:hAnsi="仿宋" w:eastAsia="仿宋" w:cs="仿宋"/>
                <w:sz w:val="20"/>
              </w:rPr>
              <w:t>指标1：活动实施完成率</w:t>
            </w:r>
          </w:p>
        </w:tc>
        <w:tc>
          <w:tcPr>
            <w:tcW w:w="783" w:type="dxa"/>
            <w:tcBorders>
              <w:top w:val="nil"/>
              <w:left w:val="nil"/>
              <w:bottom w:val="single" w:color="auto" w:sz="4" w:space="0"/>
              <w:right w:val="single" w:color="auto" w:sz="4" w:space="0"/>
            </w:tcBorders>
            <w:noWrap/>
            <w:vAlign w:val="center"/>
          </w:tcPr>
          <w:p>
            <w:pPr>
              <w:widowControl/>
              <w:spacing w:line="240" w:lineRule="exact"/>
              <w:rPr>
                <w:rFonts w:ascii="仿宋" w:hAnsi="仿宋" w:eastAsia="仿宋" w:cs="仿宋"/>
                <w:kern w:val="0"/>
                <w:sz w:val="18"/>
                <w:szCs w:val="18"/>
              </w:rPr>
            </w:pPr>
            <w:r>
              <w:rPr>
                <w:rFonts w:hint="eastAsia" w:ascii="仿宋" w:hAnsi="仿宋" w:eastAsia="仿宋" w:cs="仿宋"/>
                <w:kern w:val="0"/>
                <w:sz w:val="18"/>
                <w:szCs w:val="18"/>
              </w:rPr>
              <w:t>100%</w:t>
            </w:r>
          </w:p>
        </w:tc>
        <w:tc>
          <w:tcPr>
            <w:tcW w:w="918" w:type="dxa"/>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≥80%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20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1634"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p>
        </w:tc>
      </w:tr>
      <w:tr>
        <w:tblPrEx>
          <w:tblCellMar>
            <w:top w:w="0" w:type="dxa"/>
            <w:left w:w="108" w:type="dxa"/>
            <w:bottom w:w="0" w:type="dxa"/>
            <w:right w:w="108" w:type="dxa"/>
          </w:tblCellMar>
        </w:tblPrEx>
        <w:trPr>
          <w:trHeight w:val="720" w:hRule="atLeas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p>
        </w:tc>
        <w:tc>
          <w:tcPr>
            <w:tcW w:w="727"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p>
        </w:tc>
        <w:tc>
          <w:tcPr>
            <w:tcW w:w="914"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成本指标</w:t>
            </w:r>
          </w:p>
        </w:tc>
        <w:tc>
          <w:tcPr>
            <w:tcW w:w="2599"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全年按计划实施项目是否超预算</w:t>
            </w:r>
          </w:p>
        </w:tc>
        <w:tc>
          <w:tcPr>
            <w:tcW w:w="783" w:type="dxa"/>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按预算实施</w:t>
            </w:r>
          </w:p>
        </w:tc>
        <w:tc>
          <w:tcPr>
            <w:tcW w:w="918" w:type="dxa"/>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未超预算</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10</w:t>
            </w:r>
          </w:p>
        </w:tc>
        <w:tc>
          <w:tcPr>
            <w:tcW w:w="1634"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p>
        </w:tc>
      </w:tr>
      <w:tr>
        <w:tblPrEx>
          <w:tblCellMar>
            <w:top w:w="0" w:type="dxa"/>
            <w:left w:w="108" w:type="dxa"/>
            <w:bottom w:w="0" w:type="dxa"/>
            <w:right w:w="108" w:type="dxa"/>
          </w:tblCellMar>
        </w:tblPrEx>
        <w:trPr>
          <w:trHeight w:val="720" w:hRule="atLeas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p>
        </w:tc>
        <w:tc>
          <w:tcPr>
            <w:tcW w:w="7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社会效益指标</w:t>
            </w:r>
          </w:p>
        </w:tc>
        <w:tc>
          <w:tcPr>
            <w:tcW w:w="914"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社会效益指标</w:t>
            </w:r>
          </w:p>
        </w:tc>
        <w:tc>
          <w:tcPr>
            <w:tcW w:w="2599"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仿宋"/>
                <w:color w:val="000000"/>
                <w:kern w:val="0"/>
                <w:sz w:val="18"/>
                <w:szCs w:val="18"/>
              </w:rPr>
            </w:pPr>
            <w:r>
              <w:rPr>
                <w:rFonts w:hint="eastAsia" w:ascii="仿宋" w:hAnsi="仿宋" w:eastAsia="仿宋" w:cs="仿宋"/>
                <w:sz w:val="20"/>
              </w:rPr>
              <w:t>服务青年水平增强</w:t>
            </w:r>
          </w:p>
        </w:tc>
        <w:tc>
          <w:tcPr>
            <w:tcW w:w="783" w:type="dxa"/>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增强</w:t>
            </w:r>
          </w:p>
        </w:tc>
        <w:tc>
          <w:tcPr>
            <w:tcW w:w="918" w:type="dxa"/>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增强</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9</w:t>
            </w:r>
          </w:p>
        </w:tc>
        <w:tc>
          <w:tcPr>
            <w:tcW w:w="1634"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p>
        </w:tc>
      </w:tr>
      <w:tr>
        <w:tblPrEx>
          <w:tblCellMar>
            <w:top w:w="0" w:type="dxa"/>
            <w:left w:w="108" w:type="dxa"/>
            <w:bottom w:w="0" w:type="dxa"/>
            <w:right w:w="108" w:type="dxa"/>
          </w:tblCellMar>
        </w:tblPrEx>
        <w:trPr>
          <w:trHeight w:val="839" w:hRule="atLeas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p>
        </w:tc>
        <w:tc>
          <w:tcPr>
            <w:tcW w:w="727" w:type="dxa"/>
            <w:tcBorders>
              <w:top w:val="single" w:color="auto" w:sz="4" w:space="0"/>
              <w:left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满意度</w:t>
            </w:r>
          </w:p>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指标</w:t>
            </w:r>
          </w:p>
        </w:tc>
        <w:tc>
          <w:tcPr>
            <w:tcW w:w="914"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服务对象满意度指标</w:t>
            </w:r>
          </w:p>
        </w:tc>
        <w:tc>
          <w:tcPr>
            <w:tcW w:w="2599"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仿宋"/>
                <w:color w:val="000000"/>
                <w:kern w:val="0"/>
                <w:sz w:val="18"/>
                <w:szCs w:val="18"/>
              </w:rPr>
            </w:pPr>
            <w:r>
              <w:rPr>
                <w:rFonts w:hint="eastAsia" w:ascii="仿宋" w:hAnsi="仿宋" w:eastAsia="仿宋" w:cs="仿宋"/>
                <w:sz w:val="20"/>
              </w:rPr>
              <w:t>市民满意率</w:t>
            </w:r>
          </w:p>
        </w:tc>
        <w:tc>
          <w:tcPr>
            <w:tcW w:w="783" w:type="dxa"/>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≥85%</w:t>
            </w:r>
          </w:p>
        </w:tc>
        <w:tc>
          <w:tcPr>
            <w:tcW w:w="918" w:type="dxa"/>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≥85%</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20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r>
              <w:rPr>
                <w:rFonts w:hint="eastAsia" w:ascii="仿宋" w:hAnsi="仿宋" w:eastAsia="仿宋" w:cs="仿宋"/>
                <w:kern w:val="0"/>
                <w:sz w:val="18"/>
                <w:szCs w:val="18"/>
              </w:rPr>
              <w:t>20</w:t>
            </w:r>
          </w:p>
        </w:tc>
        <w:tc>
          <w:tcPr>
            <w:tcW w:w="1634"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p>
        </w:tc>
      </w:tr>
      <w:tr>
        <w:tblPrEx>
          <w:tblCellMar>
            <w:top w:w="0" w:type="dxa"/>
            <w:left w:w="108" w:type="dxa"/>
            <w:bottom w:w="0" w:type="dxa"/>
            <w:right w:w="108" w:type="dxa"/>
          </w:tblCellMar>
        </w:tblPrEx>
        <w:trPr>
          <w:trHeight w:val="720" w:hRule="atLeast"/>
          <w:jc w:val="center"/>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93</w:t>
            </w:r>
          </w:p>
        </w:tc>
        <w:tc>
          <w:tcPr>
            <w:tcW w:w="1634"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仿宋"/>
                <w:kern w:val="0"/>
                <w:sz w:val="18"/>
                <w:szCs w:val="18"/>
              </w:rPr>
            </w:pPr>
          </w:p>
        </w:tc>
      </w:tr>
    </w:tbl>
    <w:p>
      <w:pPr>
        <w:autoSpaceDE w:val="0"/>
        <w:autoSpaceDN w:val="0"/>
        <w:adjustRightInd w:val="0"/>
        <w:spacing w:line="360" w:lineRule="auto"/>
        <w:ind w:firstLine="600"/>
        <w:jc w:val="left"/>
        <w:rPr>
          <w:rFonts w:hint="eastAsia" w:ascii="仿宋_GB2312" w:hAnsi="仿宋_GB2312" w:eastAsia="仿宋_GB2312" w:cs="仿宋_GB2312"/>
          <w:kern w:val="0"/>
          <w:sz w:val="30"/>
          <w:szCs w:val="30"/>
          <w:lang w:eastAsia="zh-CN"/>
        </w:rPr>
      </w:pPr>
    </w:p>
    <w:p>
      <w:pPr>
        <w:autoSpaceDE w:val="0"/>
        <w:autoSpaceDN w:val="0"/>
        <w:adjustRightInd w:val="0"/>
        <w:spacing w:line="360" w:lineRule="auto"/>
        <w:ind w:firstLine="600"/>
        <w:jc w:val="left"/>
        <w:rPr>
          <w:rFonts w:hint="eastAsia" w:ascii="仿宋_GB2312" w:hAnsi="仿宋_GB2312" w:eastAsia="仿宋_GB2312" w:cs="仿宋_GB2312"/>
          <w:kern w:val="0"/>
          <w:sz w:val="30"/>
          <w:szCs w:val="30"/>
          <w:lang w:eastAsia="zh-CN"/>
        </w:rPr>
      </w:pPr>
    </w:p>
    <w:p>
      <w:pPr>
        <w:autoSpaceDE w:val="0"/>
        <w:autoSpaceDN w:val="0"/>
        <w:adjustRightInd w:val="0"/>
        <w:spacing w:line="360" w:lineRule="auto"/>
        <w:ind w:firstLine="6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三）部门评价项目绩效评价情况。</w:t>
      </w:r>
    </w:p>
    <w:p>
      <w:pPr>
        <w:keepNext w:val="0"/>
        <w:keepLines w:val="0"/>
        <w:widowControl/>
        <w:suppressLineNumbers w:val="0"/>
        <w:ind w:firstLine="600" w:firstLineChars="200"/>
        <w:jc w:val="left"/>
      </w:pPr>
      <w:r>
        <w:rPr>
          <w:rFonts w:ascii="仿宋_GB2312" w:hAnsi="仿宋_GB2312" w:eastAsia="仿宋_GB2312" w:cs="仿宋_GB2312"/>
          <w:color w:val="000000"/>
          <w:kern w:val="0"/>
          <w:sz w:val="30"/>
          <w:szCs w:val="30"/>
          <w:lang w:val="en-US" w:eastAsia="zh-CN" w:bidi="ar"/>
        </w:rPr>
        <w:t>《项目支出绩效评价报告》</w:t>
      </w:r>
    </w:p>
    <w:p>
      <w:pPr>
        <w:pStyle w:val="17"/>
        <w:keepNext w:val="0"/>
        <w:keepLines w:val="0"/>
        <w:pageBreakBefore w:val="0"/>
        <w:widowControl w:val="0"/>
        <w:kinsoku/>
        <w:wordWrap/>
        <w:overflowPunct/>
        <w:topLinePunct w:val="0"/>
        <w:autoSpaceDE/>
        <w:autoSpaceDN/>
        <w:bidi w:val="0"/>
        <w:adjustRightInd/>
        <w:snapToGrid/>
        <w:spacing w:line="560" w:lineRule="exact"/>
        <w:ind w:left="-210" w:leftChars="-100" w:right="-317" w:rightChars="-151" w:firstLine="560" w:firstLineChars="200"/>
        <w:jc w:val="center"/>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共青团景德镇市委员会</w:t>
      </w:r>
    </w:p>
    <w:p>
      <w:pPr>
        <w:pStyle w:val="17"/>
        <w:keepNext w:val="0"/>
        <w:keepLines w:val="0"/>
        <w:pageBreakBefore w:val="0"/>
        <w:widowControl w:val="0"/>
        <w:kinsoku/>
        <w:wordWrap/>
        <w:overflowPunct/>
        <w:topLinePunct w:val="0"/>
        <w:autoSpaceDE/>
        <w:autoSpaceDN/>
        <w:bidi w:val="0"/>
        <w:adjustRightInd/>
        <w:snapToGrid/>
        <w:spacing w:line="560" w:lineRule="exact"/>
        <w:ind w:left="-210" w:leftChars="-100" w:right="-317" w:rightChars="-151" w:firstLine="560" w:firstLineChars="200"/>
        <w:jc w:val="center"/>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共青团改革工作专项经费绩效评价报告</w:t>
      </w:r>
    </w:p>
    <w:p>
      <w:pPr>
        <w:pStyle w:val="17"/>
        <w:keepNext w:val="0"/>
        <w:keepLines w:val="0"/>
        <w:pageBreakBefore w:val="0"/>
        <w:widowControl w:val="0"/>
        <w:kinsoku/>
        <w:wordWrap/>
        <w:overflowPunct/>
        <w:topLinePunct w:val="0"/>
        <w:autoSpaceDE/>
        <w:autoSpaceDN/>
        <w:bidi w:val="0"/>
        <w:adjustRightInd/>
        <w:snapToGrid/>
        <w:spacing w:line="560" w:lineRule="exact"/>
        <w:ind w:left="-210" w:leftChars="-100" w:right="-317" w:rightChars="-151" w:firstLine="560" w:firstLineChars="200"/>
        <w:textAlignment w:val="auto"/>
        <w:rPr>
          <w:rFonts w:ascii="仿宋_GB2312"/>
          <w:szCs w:val="30"/>
        </w:rPr>
      </w:pPr>
      <w:r>
        <w:rPr>
          <w:rFonts w:hint="eastAsia" w:ascii="仿宋" w:hAnsi="仿宋" w:eastAsia="仿宋" w:cs="仿宋"/>
          <w:b w:val="0"/>
          <w:bCs w:val="0"/>
          <w:kern w:val="2"/>
          <w:sz w:val="28"/>
          <w:szCs w:val="28"/>
          <w:lang w:val="en-US" w:eastAsia="zh-CN" w:bidi="ar-SA"/>
        </w:rPr>
        <w:t>为贯彻落实《中共江西省委江西省人民政府关于全面实施预算绩效管理的实施意见》（赣发〔2019〕8号）的文件精神，进一步规范和加强部门项目财务支出经费管理，提高财务资金使用绩效，景德镇市公安局就本部门禁毒专项经费支出投入、产出，效果、满意度四个方面开展绩效自我评价，现将评价情况报告如下：</w:t>
      </w:r>
    </w:p>
    <w:p>
      <w:pPr>
        <w:pStyle w:val="17"/>
        <w:keepNext w:val="0"/>
        <w:keepLines w:val="0"/>
        <w:pageBreakBefore w:val="0"/>
        <w:widowControl w:val="0"/>
        <w:kinsoku/>
        <w:wordWrap/>
        <w:overflowPunct/>
        <w:topLinePunct w:val="0"/>
        <w:autoSpaceDE/>
        <w:autoSpaceDN/>
        <w:bidi w:val="0"/>
        <w:adjustRightInd/>
        <w:snapToGrid/>
        <w:spacing w:line="560" w:lineRule="exact"/>
        <w:ind w:left="-210" w:leftChars="-100" w:right="-317" w:rightChars="-151"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一、项目基本情况</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Times New Roman"/>
          <w:b w:val="0"/>
          <w:bCs w:val="0"/>
          <w:sz w:val="28"/>
          <w:szCs w:val="28"/>
          <w:lang w:val="en-US" w:eastAsia="zh-CN"/>
        </w:rPr>
      </w:pPr>
      <w:r>
        <w:rPr>
          <w:rFonts w:hint="eastAsia" w:ascii="宋体" w:hAnsi="宋体" w:eastAsia="仿宋_GB2312" w:cs="Times New Roman"/>
          <w:b w:val="0"/>
          <w:bCs w:val="0"/>
          <w:kern w:val="0"/>
          <w:sz w:val="28"/>
          <w:szCs w:val="28"/>
          <w:lang w:val="en-US" w:eastAsia="zh-CN" w:bidi="ar-SA"/>
        </w:rPr>
        <w:t>（</w:t>
      </w:r>
      <w:r>
        <w:rPr>
          <w:rFonts w:hint="eastAsia" w:ascii="宋体" w:hAnsi="宋体" w:cs="Times New Roman"/>
          <w:b w:val="0"/>
          <w:bCs w:val="0"/>
          <w:sz w:val="28"/>
          <w:szCs w:val="28"/>
          <w:lang w:val="en-US" w:eastAsia="zh-CN"/>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项目背景：中国共产主义青年团是中国共产党领导的先进青年的群众组织，是广大青年在实践中学习共产主义的学校，是党的助手和后备军，是党联系青年的桥梁和纽带，其根本职责是不断巩固和扩大党执政的青年群众基础，团结带领青年为实现中华民族伟大复兴而奋斗，四项基本职能是组织青年、引导青年、服务青年、维护青少年合法权益。适应新时代新形势的变化发展，共青团的工作需要与时俱进，进行大刀阔斧的改革，以推动共青团事业的发展，促进景德镇经济社会更好发展。这也是设立此项目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主要内容及实施情况：更好地服务大局，促进景德镇经济社会的发展；服务青年，更好地促进青年的成长；加强自身建设，打造一流的共青团的管理队伍。</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Times New Roman"/>
          <w:b w:val="0"/>
          <w:bCs w:val="0"/>
          <w:sz w:val="28"/>
          <w:szCs w:val="28"/>
          <w:lang w:val="en-US" w:eastAsia="zh-CN"/>
        </w:rPr>
      </w:pPr>
      <w:r>
        <w:rPr>
          <w:rFonts w:hint="eastAsia" w:ascii="宋体" w:hAnsi="宋体" w:cs="Times New Roman"/>
          <w:b w:val="0"/>
          <w:bCs w:val="0"/>
          <w:sz w:val="28"/>
          <w:szCs w:val="28"/>
          <w:lang w:val="en-US" w:eastAsia="zh-CN"/>
        </w:rPr>
        <w:t>2.项目实施情况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（1）项目实施的步骤：政策宣传，专题调研，具体实施，检验效果，推广总结。</w:t>
      </w:r>
      <w:r>
        <w:rPr>
          <w:rFonts w:hint="default" w:ascii="仿宋" w:hAnsi="仿宋" w:eastAsia="仿宋" w:cs="仿宋"/>
          <w:b w:val="0"/>
          <w:bCs w:val="0"/>
          <w:sz w:val="28"/>
          <w:szCs w:val="28"/>
          <w:lang w:val="en-US" w:eastAsia="zh-CN"/>
        </w:rPr>
        <w:t>20</w:t>
      </w:r>
      <w:r>
        <w:rPr>
          <w:rFonts w:hint="eastAsia" w:ascii="仿宋" w:hAnsi="仿宋" w:eastAsia="仿宋" w:cs="仿宋"/>
          <w:b w:val="0"/>
          <w:bCs w:val="0"/>
          <w:sz w:val="28"/>
          <w:szCs w:val="28"/>
          <w:lang w:val="en-US" w:eastAsia="zh-CN"/>
        </w:rPr>
        <w:t>21</w:t>
      </w:r>
      <w:r>
        <w:rPr>
          <w:rFonts w:hint="default" w:ascii="仿宋" w:hAnsi="仿宋" w:eastAsia="仿宋" w:cs="仿宋"/>
          <w:b w:val="0"/>
          <w:bCs w:val="0"/>
          <w:sz w:val="28"/>
          <w:szCs w:val="28"/>
          <w:lang w:val="en-US" w:eastAsia="zh-CN"/>
        </w:rPr>
        <w:t>年的</w:t>
      </w:r>
      <w:r>
        <w:rPr>
          <w:rFonts w:hint="eastAsia" w:ascii="仿宋" w:hAnsi="仿宋" w:eastAsia="仿宋" w:cs="仿宋"/>
          <w:b w:val="0"/>
          <w:bCs w:val="0"/>
          <w:sz w:val="28"/>
          <w:szCs w:val="28"/>
          <w:lang w:val="en-US" w:eastAsia="zh-CN"/>
        </w:rPr>
        <w:t>改革工作暂告一段落，我们将不断总结经验，期待更深入进行改革</w:t>
      </w:r>
      <w:r>
        <w:rPr>
          <w:rFonts w:hint="default" w:ascii="仿宋" w:hAnsi="仿宋" w:eastAsia="仿宋" w:cs="仿宋"/>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（2）项目管理情况。制定共青团改革的相关规章制度，使改革有章可寻，并严格执行规章制度</w:t>
      </w:r>
      <w:r>
        <w:rPr>
          <w:rFonts w:hint="default" w:ascii="仿宋" w:hAnsi="仿宋" w:eastAsia="仿宋" w:cs="仿宋"/>
          <w:b w:val="0"/>
          <w:bCs w:val="0"/>
          <w:sz w:val="28"/>
          <w:szCs w:val="28"/>
          <w:lang w:val="en-US" w:eastAsia="zh-CN"/>
        </w:rPr>
        <w:t>。</w:t>
      </w:r>
    </w:p>
    <w:p>
      <w:pPr>
        <w:keepNext w:val="0"/>
        <w:keepLines w:val="0"/>
        <w:widowControl/>
        <w:suppressLineNumbers w:val="0"/>
        <w:ind w:firstLine="620" w:firstLineChars="200"/>
        <w:jc w:val="left"/>
        <w:rPr>
          <w:b w:val="0"/>
          <w:bCs w:val="0"/>
        </w:rPr>
      </w:pPr>
      <w:r>
        <w:rPr>
          <w:rFonts w:ascii="仿宋" w:hAnsi="仿宋" w:eastAsia="仿宋" w:cs="仿宋"/>
          <w:b w:val="0"/>
          <w:bCs w:val="0"/>
          <w:color w:val="000000"/>
          <w:kern w:val="0"/>
          <w:sz w:val="31"/>
          <w:szCs w:val="31"/>
          <w:lang w:val="en-US" w:eastAsia="zh-CN" w:bidi="ar"/>
        </w:rPr>
        <w:t>3.经费使用情况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560" w:firstLineChars="200"/>
        <w:jc w:val="both"/>
        <w:textAlignment w:val="auto"/>
        <w:outlineLvl w:val="9"/>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共青团改革专项预算资金收入共计20万元。财政拨款22.16万元，至年底实际使用22.16万元。</w:t>
      </w:r>
    </w:p>
    <w:p>
      <w:pPr>
        <w:pStyle w:val="2"/>
        <w:numPr>
          <w:ilvl w:val="0"/>
          <w:numId w:val="0"/>
        </w:numPr>
      </w:pP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Times New Roman"/>
          <w:b w:val="0"/>
          <w:bCs w:val="0"/>
          <w:sz w:val="28"/>
          <w:szCs w:val="28"/>
          <w:lang w:val="en-US" w:eastAsia="zh-CN"/>
        </w:rPr>
      </w:pPr>
      <w:r>
        <w:rPr>
          <w:rFonts w:hint="eastAsia" w:ascii="宋体" w:hAnsi="宋体" w:cs="Times New Roman"/>
          <w:b w:val="0"/>
          <w:bCs w:val="0"/>
          <w:sz w:val="28"/>
          <w:szCs w:val="28"/>
          <w:lang w:val="en-US" w:eastAsia="zh-CN"/>
        </w:rPr>
        <w:t>（二）项目绩效目标。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总目标：在市委和团省委的正确领导下，深入贯彻习近平新时代中国特色社会主义思想和党的十九大，十九届五中、六中全会精神，认真落实习近平总书记视察江西重要讲话精神和省委、市委全会精神，围绕市委和团省委工作部署，探索共青团工作的改革，围绕聚焦主责主业，服务中心大局，加强青少年思想政治引领，服务青年成长发展，夯实基层组织建设，团结带领全市团员青年投身打造与世界对话的国际瓷都奉献青春力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阶段性目标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绩效目标1: 改进领导模式和管理制度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绩效目标2：加强基层团组织建设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绩效目标3：创新工作方式和运行机制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绩效目标4：服务于瓷都经济社会发展</w:t>
      </w:r>
    </w:p>
    <w:p>
      <w:pPr>
        <w:pStyle w:val="17"/>
        <w:keepNext w:val="0"/>
        <w:keepLines w:val="0"/>
        <w:pageBreakBefore w:val="0"/>
        <w:widowControl w:val="0"/>
        <w:kinsoku/>
        <w:wordWrap/>
        <w:overflowPunct/>
        <w:topLinePunct w:val="0"/>
        <w:autoSpaceDE/>
        <w:autoSpaceDN/>
        <w:bidi w:val="0"/>
        <w:adjustRightInd/>
        <w:snapToGrid/>
        <w:spacing w:line="560" w:lineRule="exact"/>
        <w:ind w:left="-210" w:leftChars="-100" w:right="-317" w:rightChars="-151"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二、绩效评价工作开展情况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仿宋" w:hAnsi="仿宋" w:eastAsia="仿宋" w:cs="仿宋"/>
          <w:b w:val="0"/>
          <w:bCs w:val="0"/>
          <w:sz w:val="28"/>
          <w:szCs w:val="28"/>
          <w:lang w:val="en-US" w:eastAsia="zh-CN"/>
        </w:rPr>
      </w:pPr>
      <w:bookmarkStart w:id="6" w:name="_Toc776_WPSOffice_Level2"/>
      <w:r>
        <w:rPr>
          <w:rFonts w:hint="eastAsia" w:ascii="仿宋" w:hAnsi="仿宋" w:eastAsia="仿宋" w:cs="仿宋"/>
          <w:b w:val="0"/>
          <w:bCs w:val="0"/>
          <w:sz w:val="28"/>
          <w:szCs w:val="28"/>
          <w:lang w:val="en-US" w:eastAsia="zh-CN"/>
        </w:rPr>
        <w:t>（一）绩效自评目的</w:t>
      </w:r>
      <w:bookmarkEnd w:id="6"/>
      <w:bookmarkStart w:id="7" w:name="_Toc22152_WPSOffice_Level2"/>
      <w:r>
        <w:rPr>
          <w:rFonts w:hint="eastAsia" w:ascii="仿宋" w:hAnsi="仿宋" w:eastAsia="仿宋" w:cs="仿宋"/>
          <w:b w:val="0"/>
          <w:bCs w:val="0"/>
          <w:sz w:val="28"/>
          <w:szCs w:val="28"/>
          <w:lang w:val="en-US" w:eastAsia="zh-CN"/>
        </w:rPr>
        <w:t>。</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仿宋_GB2312" w:cs="Times New Roman"/>
          <w:b w:val="0"/>
          <w:bCs w:val="0"/>
          <w:kern w:val="0"/>
          <w:sz w:val="28"/>
          <w:szCs w:val="28"/>
          <w:lang w:val="en-US" w:eastAsia="zh-CN" w:bidi="ar-SA"/>
        </w:rPr>
      </w:pPr>
      <w:r>
        <w:rPr>
          <w:rFonts w:hint="eastAsia" w:ascii="宋体" w:hAnsi="宋体" w:eastAsia="仿宋_GB2312" w:cs="Times New Roman"/>
          <w:b w:val="0"/>
          <w:bCs w:val="0"/>
          <w:kern w:val="0"/>
          <w:sz w:val="28"/>
          <w:szCs w:val="28"/>
          <w:lang w:val="en-US" w:eastAsia="zh-CN" w:bidi="ar-SA"/>
        </w:rPr>
        <w:t>本次评价的目的主要是了解202</w:t>
      </w:r>
      <w:r>
        <w:rPr>
          <w:rFonts w:hint="eastAsia" w:ascii="宋体" w:hAnsi="宋体" w:cs="Times New Roman"/>
          <w:b w:val="0"/>
          <w:bCs w:val="0"/>
          <w:kern w:val="0"/>
          <w:sz w:val="28"/>
          <w:szCs w:val="28"/>
          <w:lang w:val="en-US" w:eastAsia="zh-CN" w:bidi="ar-SA"/>
        </w:rPr>
        <w:t>1</w:t>
      </w:r>
      <w:r>
        <w:rPr>
          <w:rFonts w:hint="eastAsia" w:ascii="宋体" w:hAnsi="宋体" w:eastAsia="仿宋_GB2312" w:cs="Times New Roman"/>
          <w:b w:val="0"/>
          <w:bCs w:val="0"/>
          <w:kern w:val="0"/>
          <w:sz w:val="28"/>
          <w:szCs w:val="28"/>
          <w:lang w:val="en-US" w:eastAsia="zh-CN" w:bidi="ar-SA"/>
        </w:rPr>
        <w:t>年</w:t>
      </w:r>
      <w:r>
        <w:rPr>
          <w:rFonts w:hint="eastAsia" w:ascii="宋体" w:hAnsi="宋体" w:cs="Times New Roman"/>
          <w:b w:val="0"/>
          <w:bCs w:val="0"/>
          <w:kern w:val="0"/>
          <w:sz w:val="28"/>
          <w:szCs w:val="28"/>
          <w:lang w:val="en-US" w:eastAsia="zh-CN" w:bidi="ar-SA"/>
        </w:rPr>
        <w:t>共青团改革工作经费专项</w:t>
      </w:r>
      <w:r>
        <w:rPr>
          <w:rFonts w:hint="eastAsia" w:ascii="宋体" w:hAnsi="宋体" w:eastAsia="仿宋_GB2312" w:cs="Times New Roman"/>
          <w:b w:val="0"/>
          <w:bCs w:val="0"/>
          <w:kern w:val="0"/>
          <w:sz w:val="28"/>
          <w:szCs w:val="28"/>
          <w:lang w:val="en-US" w:eastAsia="zh-CN" w:bidi="ar-SA"/>
        </w:rPr>
        <w:t>资金的使用情况和项目取得的效果,发现项目管理存在的问题，总结项目管理经验，进一步加强和规范项目资金管理，完善项目和资金管理办法，为优化</w:t>
      </w:r>
      <w:r>
        <w:rPr>
          <w:rFonts w:hint="eastAsia" w:ascii="宋体" w:hAnsi="宋体" w:cs="Times New Roman"/>
          <w:b w:val="0"/>
          <w:bCs w:val="0"/>
          <w:kern w:val="0"/>
          <w:sz w:val="28"/>
          <w:szCs w:val="28"/>
          <w:lang w:val="en-US" w:eastAsia="zh-CN" w:bidi="ar-SA"/>
        </w:rPr>
        <w:t>部门</w:t>
      </w:r>
      <w:r>
        <w:rPr>
          <w:rFonts w:hint="eastAsia" w:ascii="宋体" w:hAnsi="宋体" w:eastAsia="仿宋_GB2312" w:cs="Times New Roman"/>
          <w:b w:val="0"/>
          <w:bCs w:val="0"/>
          <w:kern w:val="0"/>
          <w:sz w:val="28"/>
          <w:szCs w:val="28"/>
          <w:lang w:val="en-US" w:eastAsia="zh-CN" w:bidi="ar-SA"/>
        </w:rPr>
        <w:t>财务支出结构、做好预算编制和申报绩效目标提供决策参考和依据，促进景德镇市共青团工作的发展。</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（二）评价原则</w:t>
      </w:r>
      <w:bookmarkEnd w:id="7"/>
      <w:r>
        <w:rPr>
          <w:rFonts w:hint="eastAsia" w:ascii="仿宋" w:hAnsi="仿宋" w:eastAsia="仿宋" w:cs="仿宋"/>
          <w:kern w:val="2"/>
          <w:sz w:val="28"/>
          <w:szCs w:val="28"/>
          <w:lang w:val="en-US" w:eastAsia="zh-CN" w:bidi="ar-SA"/>
        </w:rPr>
        <w:t xml:space="preserve">    </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b w:val="0"/>
          <w:bCs w:val="0"/>
          <w:sz w:val="28"/>
          <w:szCs w:val="28"/>
          <w:lang w:val="en-US" w:eastAsia="zh-CN"/>
        </w:rPr>
      </w:pPr>
      <w:bookmarkStart w:id="8" w:name="_Toc5013_WPSOffice_Level2"/>
      <w:r>
        <w:rPr>
          <w:rFonts w:hint="default" w:ascii="宋体" w:hAnsi="宋体"/>
          <w:b w:val="0"/>
          <w:bCs w:val="0"/>
          <w:sz w:val="28"/>
          <w:szCs w:val="28"/>
          <w:lang w:val="en-US" w:eastAsia="zh-CN"/>
        </w:rPr>
        <w:t>（1）科学规范原则。绩效评价注重财政支出的经济性、效率性和有效性，严格执行规定的程序，合理确定绩效目标和评价内容，运用简便、实用、定量与定性分析相结合的方法，规范进行评价。</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b w:val="0"/>
          <w:bCs w:val="0"/>
          <w:sz w:val="28"/>
          <w:szCs w:val="28"/>
          <w:lang w:val="en-US" w:eastAsia="zh-CN"/>
        </w:rPr>
      </w:pPr>
      <w:r>
        <w:rPr>
          <w:rFonts w:hint="default" w:ascii="宋体" w:hAnsi="宋体"/>
          <w:b w:val="0"/>
          <w:bCs w:val="0"/>
          <w:sz w:val="28"/>
          <w:szCs w:val="28"/>
          <w:lang w:val="en-US" w:eastAsia="zh-CN"/>
        </w:rPr>
        <w:t>（2）公正公开原则。坚持客观、公平、公正，做到依据合法、标准统一、资料可靠、实事求是、公开透明，并接受监督。</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b w:val="0"/>
          <w:bCs w:val="0"/>
          <w:sz w:val="28"/>
          <w:szCs w:val="28"/>
          <w:lang w:val="en-US" w:eastAsia="zh-CN"/>
        </w:rPr>
      </w:pPr>
      <w:r>
        <w:rPr>
          <w:rFonts w:hint="default" w:ascii="宋体" w:hAnsi="宋体"/>
          <w:b w:val="0"/>
          <w:bCs w:val="0"/>
          <w:sz w:val="28"/>
          <w:szCs w:val="28"/>
          <w:lang w:val="en-US" w:eastAsia="zh-CN"/>
        </w:rPr>
        <w:t>（3）分级分类原则。根据评价对象特点分类组织实施，发现问题提出明确整改措施和要求，并及时整改落实。</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b w:val="0"/>
          <w:bCs w:val="0"/>
          <w:sz w:val="28"/>
          <w:szCs w:val="28"/>
          <w:lang w:val="en-US" w:eastAsia="zh-CN"/>
        </w:rPr>
      </w:pPr>
      <w:r>
        <w:rPr>
          <w:rFonts w:hint="default" w:ascii="宋体" w:hAnsi="宋体"/>
          <w:b w:val="0"/>
          <w:bCs w:val="0"/>
          <w:sz w:val="28"/>
          <w:szCs w:val="28"/>
          <w:lang w:val="en-US" w:eastAsia="zh-CN"/>
        </w:rPr>
        <w:t>（4）绩效相关原则。绩效评价针对具体支出及其产出绩效进行，评价结果清晰反映支出和产出绩效之间的紧密对应关系。</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（三）绩效评价方法</w:t>
      </w:r>
      <w:bookmarkEnd w:id="8"/>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仿宋" w:hAnsi="仿宋" w:eastAsia="仿宋" w:cs="仿宋"/>
          <w:kern w:val="2"/>
          <w:sz w:val="28"/>
          <w:szCs w:val="28"/>
          <w:lang w:val="en-US" w:eastAsia="zh-CN" w:bidi="ar-SA"/>
        </w:rPr>
        <w:t>坚持定量优先、定量与定性相结合的方式，始终遵循科学规范、公正公开、分类分级、绩效相关的基本原则，采取审核资料、现场勘查等配套方式，对年度禁毒专项经费支出开展综合评价。</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kern w:val="2"/>
          <w:sz w:val="28"/>
          <w:szCs w:val="28"/>
          <w:lang w:val="en-US" w:eastAsia="zh-CN" w:bidi="ar-SA"/>
        </w:rPr>
        <w:t>三、绩效分析及评价结论</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(一)绩效分析</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1.投入</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（1）项目立项： 适应新时代新形势的变化发展，共青团的工作需要与时俱进，进行大刀阔斧的改革，以推动共青团事业的发展，促进景德镇共青团事业更好发展。这也是设立此项目目的。</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申请、设立，分项组织实施，符合要求。 </w:t>
      </w:r>
    </w:p>
    <w:p>
      <w:pPr>
        <w:keepNext w:val="0"/>
        <w:keepLines w:val="0"/>
        <w:widowControl/>
        <w:suppressLineNumbers w:val="0"/>
        <w:jc w:val="left"/>
      </w:pP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（2） 资金落实：计划投入资金20万元，实际到位资金22.16万元，资金到位率和到位及时率均为100.72%。 </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2.过程</w:t>
      </w:r>
    </w:p>
    <w:p>
      <w:pPr>
        <w:keepNext w:val="0"/>
        <w:keepLines w:val="0"/>
        <w:widowControl/>
        <w:suppressLineNumbers w:val="0"/>
        <w:jc w:val="left"/>
        <w:rPr>
          <w:rFonts w:hint="eastAsia" w:ascii="仿宋" w:hAnsi="仿宋" w:eastAsia="仿宋" w:cs="仿宋"/>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 </w:t>
      </w:r>
      <w:r>
        <w:rPr>
          <w:rFonts w:hint="eastAsia" w:ascii="仿宋" w:hAnsi="仿宋" w:eastAsia="仿宋" w:cs="仿宋"/>
          <w:kern w:val="2"/>
          <w:sz w:val="28"/>
          <w:szCs w:val="28"/>
          <w:lang w:val="en-US" w:eastAsia="zh-CN" w:bidi="ar-SA"/>
        </w:rPr>
        <w:t>（1）业务管理：项目已制定或具有资产管理制度，合法、合规，管理制度得到有效执行。</w:t>
      </w:r>
    </w:p>
    <w:p>
      <w:pPr>
        <w:keepNext w:val="0"/>
        <w:keepLines w:val="0"/>
        <w:widowControl/>
        <w:suppressLineNumbers w:val="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（2）财务管理：单位制定有项目管理办法，专款专用，没有截留、挤占、挪用、虚列支出等违反财经纪律现象；</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3.产出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1、选树创业致富示范基地。选树市级优秀个人210人、集体30个，创业致富示范基地4个。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2、网上累计参学青少年人次。常态化开展“红领巾爱学习”“青年大学习”“寒、暑假十堂课”网上主题团、队课，指导各级团、队组织每期深入开展学习，累计参学少先队员、团员青年达10万余人次。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组织各院校志愿者工作人数。部门整体承接2021年全省旅游产业发展大会志愿服务工作，在全面动员、重点招募和强化培训下，共组织各院校1300余名青年志愿者开展了为期三个多月的工作，赴陶溪川、高岭中国村、三宝、陶阳里等十景三宴三剧点位进行酒店接待、车辆接驳、道路指引、餐饮服务、专题讲解等各项志愿服务工作，全面完成省旅发会组委会交办的各项工作任务，赢得广泛赞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4、市县两级共组建赣青突击队数量。市县两级共组建赣青突击队20余支，队员300多人；重点项目突击队9支，队员约200人。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资助困难家庭大学新生数量。大力推动“金秋助学”“希望工程圆梦行动”等公益项目发展，将困难青少年的现实需求与社会爱心资源、青年文明号等对接，发放助学金总计22.5万元，资助困难家庭大学新生45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8、新发展团员数量。全年应发展团员3160人，截至目前已发展3056人，完成全年任务96.7%。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9、团内工作通报制推进率。部门加强对干部职工日常教育管理、严肃党内政治生活；推进团内工作通报制度，全面核查团员违纪情况，规范团、队标志标识使用，推动全市共青团系统风清气正。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10、少先队改革深化。部门不断深化少先队改革，构建阶梯式成长激励体系，开展分批入队试点、“红领巾奖章”二星、三星章评章、颁章，少先队评优评先等工作，增强少先队员光荣感。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青年工作联动机制建立率。部门召开景德镇市第三次青年工作联席会全体会议；召开青年联合会第九届委员会全体会议、景德镇市学生联合会第五次代表大会，市四套班子领导出席，市领导讲话，全体青联委员和学联代表及相关工作人员共计360余人参加大会，通过换届，进一步完善组织结构，健全组织功能，凝聚青春力量。</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4.效果</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促进青少年成长。设立全市青年人才库、景漂景归人才代表库、北上广深优秀学子库，开展春节人才走访、政协结对帮扶、来景人才慰问等工作，将一大批青年才俊团结凝聚在团的组织中，为党的事业服务。效果较好，但还需加大力度。</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聚焦从严治团。一方面，加强团的机关党的建设，组织机关及下属单位深化党史学习教育，并赴御窑厂、地下管廊、森林公园、瓷博会建党百年陶瓷特展等地开展党建工作，组织进行“七一”走访慰问，关心关怀困难党员，举办硬笔书法比赛、我为群众写春联等活动，教育引导团市委系统党员同志牢固树立“四个意识”，坚定“四个自信”，坚决做到“两个维护”。另一方面，绷紧党风廉政建设这根弦，组织召开团市委从严治党暨党风廉政建设部署会，始终把讲规矩、守纪律作为根本要求，大力整治“怕慢假庸散”作风顽疾，营造风清气正政治生态；抓住“关键少数”、加强对“一把手”和领导班子监督，落实落细主体责任；开展团市委机关政治谈话工作，召开文艺小学专题组织生活会，加强对干部职工日常教育管理、严肃党内政治生活；推进团内工作通报制度，全面核查团员违纪情况，规范团、队标志标识使用，推动全市共青团系统风清气正。</w:t>
      </w:r>
    </w:p>
    <w:p>
      <w:pPr>
        <w:pStyle w:val="2"/>
      </w:pP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五、主要经验及做法、存在的问题及原因分析</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(一）优秀经验及做法</w:t>
      </w:r>
      <w:bookmarkStart w:id="9" w:name="_Toc27453_WPSOffice_Level2"/>
    </w:p>
    <w:p>
      <w:pPr>
        <w:keepNext w:val="0"/>
        <w:keepLines w:val="0"/>
        <w:pageBreakBefore w:val="0"/>
        <w:widowControl w:val="0"/>
        <w:kinsoku/>
        <w:wordWrap/>
        <w:overflowPunct/>
        <w:topLinePunct w:val="0"/>
        <w:autoSpaceDE/>
        <w:autoSpaceDN/>
        <w:bidi w:val="0"/>
        <w:adjustRightInd/>
        <w:snapToGrid/>
        <w:spacing w:line="600" w:lineRule="exact"/>
        <w:ind w:right="0" w:righ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党史学习全面铺开、抓常抓长。一方面组织召开团市委十五届四次全体（扩大）会议暨党史学习教育动员大会，对全市共青团系统党史学习教育进行全面动员部署。一方面，把握重要时间节点，指导各级团、队组织开展教育活动，推动青少年党史学习教育走深走实。</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主题实践深化开展、入脑入心。在线上，部署各地各校红领巾讲解员开展“红领巾讲党史”活动，常态化开展“红领巾爱学习”“青年大学习”“寒、暑假十堂课”网上主题团、队课，指导各级团、队组织每期深入开展学习，累计参学少先队员、团员青年达10万余人次。“六一”期间，“红领巾心向党”主题活动录入率位居全省前列。在线下，举办全市各届青年学习习近平总书记七一重要讲话培训班暨“青马工程”市级示范班。</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3.力推动青年建功发展。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280" w:firstLineChars="1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4、更好服务成长成才需求。</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5、不断夯实团的基层组织建设。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（二）主要存在问题</w:t>
      </w:r>
      <w:bookmarkEnd w:id="9"/>
      <w:r>
        <w:rPr>
          <w:rFonts w:hint="eastAsia" w:ascii="仿宋" w:hAnsi="仿宋" w:eastAsia="仿宋" w:cs="仿宋"/>
          <w:b w:val="0"/>
          <w:bCs w:val="0"/>
          <w:sz w:val="30"/>
          <w:szCs w:val="30"/>
          <w:lang w:val="en-US" w:eastAsia="zh-CN"/>
        </w:rPr>
        <w:t>及原因分析</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1、预算绩效目标设置待改进。部门整体支出绩效目标基础和依据不够充分，年度工作任务没有分解到内部机构岗位人员身上，缺乏分项预算金额。  </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2、服务青少年突出需求举措待创新，助力青少年成长发展能力待提高，与青少年的期待有差距。</w:t>
      </w:r>
    </w:p>
    <w:p>
      <w:pPr>
        <w:spacing w:line="60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六、建议</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1、提高全面预算管理的重视程度。建立以绩效为导向的预算编制模式，借鉴其他部门在绩效管理方面的经验和做法，制定绩效管理制度，并将其贯彻到预算申请、预算分配、项目实施和绩效考评的全过程。</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2、实施预算进度跟踪，合理支出预算资金，做到目标管理与执行进度跟踪统一，项目产出与效益管理的统一。</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健全团的制度体系。完善推动改革在基层落地的工作机制，深化“一专一站两联”工作。强化市级专门委员会建设，健全青年评议、团建述职等团内制度，积极探索项目化、扁平化工作机制。加大“智慧团建”使用力度，抓实团支部整顿，开展基层团组织星级创建评定。夯实社会领域团组织工作基础，大力开展非公企业、青年社会组织、互联网企业团建工作。优化全团抓学校机制，加强县级教育团工委考核，改革学生会组织运行机制，推动学生社团健康有序发展。</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000000"/>
          <w:sz w:val="32"/>
          <w:szCs w:val="32"/>
        </w:rPr>
      </w:pPr>
      <w:r>
        <w:rPr>
          <w:rFonts w:hint="eastAsia" w:ascii="仿宋" w:hAnsi="仿宋" w:eastAsia="仿宋" w:cs="仿宋"/>
          <w:kern w:val="2"/>
          <w:sz w:val="28"/>
          <w:szCs w:val="28"/>
          <w:lang w:val="en-US" w:eastAsia="zh-CN" w:bidi="ar-SA"/>
        </w:rPr>
        <w:t>4.强化团内作风。贯彻落实中央八项规定及其实施细则精神和团中央六条规定精神，加大形式主义、官僚主义整治力度。推动各级团组织团干部革新工作理念、转变工作作风、提升工作能力。强化团干部纪律约束，抵制“怕慢假庸散”作风顽疾，对工作落实不力、担当意识不强的及时约谈提醒，必要时进行问责和通报，在全市共青团营造敢想敢进、创先争优的干事创业氛围。</w:t>
      </w:r>
    </w:p>
    <w:p>
      <w:pPr>
        <w:widowControl/>
        <w:spacing w:line="600" w:lineRule="exact"/>
        <w:rPr>
          <w:rFonts w:ascii="仿宋" w:hAnsi="仿宋" w:eastAsia="仿宋" w:cs="仿宋"/>
          <w:b/>
          <w:sz w:val="32"/>
          <w:szCs w:val="32"/>
        </w:rPr>
      </w:pPr>
      <w:bookmarkStart w:id="10" w:name="_GoBack"/>
      <w:bookmarkEnd w:id="10"/>
      <w:r>
        <w:rPr>
          <w:rFonts w:hint="eastAsia" w:ascii="仿宋" w:hAnsi="仿宋" w:eastAsia="仿宋" w:cs="仿宋"/>
          <w:b/>
          <w:sz w:val="32"/>
          <w:szCs w:val="32"/>
        </w:rPr>
        <w:t>第四部分  名词解释</w:t>
      </w:r>
    </w:p>
    <w:p>
      <w:pPr>
        <w:widowControl/>
        <w:spacing w:line="580" w:lineRule="exact"/>
        <w:jc w:val="left"/>
        <w:rPr>
          <w:rFonts w:ascii="仿宋" w:hAnsi="仿宋" w:eastAsia="仿宋" w:cs="仿宋"/>
          <w:kern w:val="0"/>
          <w:sz w:val="30"/>
          <w:szCs w:val="30"/>
        </w:rPr>
      </w:pPr>
      <w:r>
        <w:rPr>
          <w:rFonts w:hint="eastAsia" w:ascii="仿宋" w:hAnsi="仿宋" w:eastAsia="仿宋" w:cs="仿宋"/>
          <w:kern w:val="0"/>
          <w:sz w:val="30"/>
          <w:szCs w:val="30"/>
        </w:rPr>
        <w:t xml:space="preserve">    名词解释应以财务会计制度、政府收支分类科目以及部门预算管理等规定为基本说明，可在此基础上结合部门实际情况适当细化。“三公”经费支出和机关运行经费支出口径必需予以说明。</w:t>
      </w:r>
    </w:p>
    <w:p>
      <w:pPr>
        <w:ind w:firstLine="630"/>
        <w:jc w:val="left"/>
        <w:rPr>
          <w:rFonts w:ascii="仿宋" w:hAnsi="仿宋" w:eastAsia="仿宋" w:cs="仿宋"/>
          <w:sz w:val="30"/>
          <w:szCs w:val="30"/>
        </w:rPr>
      </w:pPr>
    </w:p>
    <w:p>
      <w:pPr>
        <w:widowControl/>
        <w:jc w:val="left"/>
        <w:rPr>
          <w:rFonts w:ascii="仿宋" w:hAnsi="仿宋" w:eastAsia="仿宋" w:cs="仿宋"/>
        </w:rPr>
      </w:pPr>
      <w:r>
        <w:rPr>
          <w:rFonts w:hint="eastAsia" w:ascii="仿宋" w:hAnsi="仿宋" w:eastAsia="仿宋" w:cs="仿宋"/>
          <w:color w:val="000000"/>
          <w:kern w:val="0"/>
          <w:sz w:val="30"/>
          <w:szCs w:val="30"/>
        </w:rPr>
        <w:t xml:space="preserve">一、收入科目 </w:t>
      </w:r>
    </w:p>
    <w:p>
      <w:pPr>
        <w:widowControl/>
        <w:ind w:firstLine="600" w:firstLineChars="200"/>
        <w:jc w:val="left"/>
        <w:rPr>
          <w:rFonts w:ascii="仿宋" w:hAnsi="仿宋" w:eastAsia="仿宋" w:cs="仿宋"/>
        </w:rPr>
      </w:pPr>
      <w:r>
        <w:rPr>
          <w:rFonts w:hint="eastAsia" w:ascii="仿宋" w:hAnsi="仿宋" w:eastAsia="仿宋" w:cs="仿宋"/>
          <w:color w:val="000000"/>
          <w:kern w:val="0"/>
          <w:sz w:val="30"/>
          <w:szCs w:val="30"/>
        </w:rPr>
        <w:t xml:space="preserve">（一）财政拨款：指市级财政当年拨付的资金。 </w:t>
      </w:r>
    </w:p>
    <w:p>
      <w:pPr>
        <w:widowControl/>
        <w:ind w:firstLine="600" w:firstLineChars="200"/>
        <w:jc w:val="left"/>
        <w:rPr>
          <w:rFonts w:ascii="仿宋" w:hAnsi="仿宋" w:eastAsia="仿宋" w:cs="仿宋"/>
        </w:rPr>
      </w:pPr>
      <w:r>
        <w:rPr>
          <w:rFonts w:hint="eastAsia" w:ascii="仿宋" w:hAnsi="仿宋" w:eastAsia="仿宋" w:cs="仿宋"/>
          <w:color w:val="000000"/>
          <w:kern w:val="0"/>
          <w:sz w:val="30"/>
          <w:szCs w:val="30"/>
        </w:rPr>
        <w:t xml:space="preserve">（二）事业收入：指事业单位开展专业业务活动及辅助活动 </w:t>
      </w:r>
    </w:p>
    <w:p>
      <w:pPr>
        <w:widowControl/>
        <w:jc w:val="left"/>
        <w:rPr>
          <w:rFonts w:ascii="仿宋" w:hAnsi="仿宋" w:eastAsia="仿宋" w:cs="仿宋"/>
        </w:rPr>
      </w:pPr>
      <w:r>
        <w:rPr>
          <w:rFonts w:hint="eastAsia" w:ascii="仿宋" w:hAnsi="仿宋" w:eastAsia="仿宋" w:cs="仿宋"/>
          <w:color w:val="000000"/>
          <w:kern w:val="0"/>
          <w:sz w:val="30"/>
          <w:szCs w:val="30"/>
        </w:rPr>
        <w:t xml:space="preserve">取得的收入。 </w:t>
      </w:r>
    </w:p>
    <w:p>
      <w:pPr>
        <w:widowControl/>
        <w:ind w:firstLine="600" w:firstLineChars="200"/>
        <w:jc w:val="left"/>
        <w:rPr>
          <w:rFonts w:ascii="仿宋" w:hAnsi="仿宋" w:eastAsia="仿宋" w:cs="仿宋"/>
        </w:rPr>
      </w:pPr>
      <w:r>
        <w:rPr>
          <w:rFonts w:hint="eastAsia" w:ascii="仿宋" w:hAnsi="仿宋" w:eastAsia="仿宋" w:cs="仿宋"/>
          <w:color w:val="000000"/>
          <w:kern w:val="0"/>
          <w:sz w:val="30"/>
          <w:szCs w:val="30"/>
        </w:rPr>
        <w:t xml:space="preserve">（三）事业单位经营收入：指事业单位在专业业务活动及辅 </w:t>
      </w:r>
    </w:p>
    <w:p>
      <w:pPr>
        <w:widowControl/>
        <w:jc w:val="left"/>
        <w:rPr>
          <w:rFonts w:ascii="仿宋" w:hAnsi="仿宋" w:eastAsia="仿宋" w:cs="仿宋"/>
        </w:rPr>
      </w:pPr>
      <w:r>
        <w:rPr>
          <w:rFonts w:hint="eastAsia" w:ascii="仿宋" w:hAnsi="仿宋" w:eastAsia="仿宋" w:cs="仿宋"/>
          <w:color w:val="000000"/>
          <w:kern w:val="0"/>
          <w:sz w:val="30"/>
          <w:szCs w:val="30"/>
        </w:rPr>
        <w:t xml:space="preserve">助活动之外开展非独立核算经营活动取得的收入。 </w:t>
      </w:r>
    </w:p>
    <w:p>
      <w:pPr>
        <w:widowControl/>
        <w:ind w:firstLine="600" w:firstLineChars="200"/>
        <w:jc w:val="left"/>
        <w:rPr>
          <w:rFonts w:ascii="仿宋" w:hAnsi="仿宋" w:eastAsia="仿宋" w:cs="仿宋"/>
        </w:rPr>
      </w:pPr>
      <w:r>
        <w:rPr>
          <w:rFonts w:hint="eastAsia" w:ascii="仿宋" w:hAnsi="仿宋" w:eastAsia="仿宋" w:cs="仿宋"/>
          <w:color w:val="000000"/>
          <w:kern w:val="0"/>
          <w:sz w:val="30"/>
          <w:szCs w:val="30"/>
        </w:rPr>
        <w:t xml:space="preserve">（四）其他收入：指除财政拨款、事业收入、事业单位经营 </w:t>
      </w:r>
    </w:p>
    <w:p>
      <w:pPr>
        <w:widowControl/>
        <w:jc w:val="left"/>
        <w:rPr>
          <w:rFonts w:ascii="仿宋" w:hAnsi="仿宋" w:eastAsia="仿宋" w:cs="仿宋"/>
        </w:rPr>
      </w:pPr>
      <w:r>
        <w:rPr>
          <w:rFonts w:hint="eastAsia" w:ascii="仿宋" w:hAnsi="仿宋" w:eastAsia="仿宋" w:cs="仿宋"/>
          <w:color w:val="000000"/>
          <w:kern w:val="0"/>
          <w:sz w:val="30"/>
          <w:szCs w:val="30"/>
        </w:rPr>
        <w:t xml:space="preserve">收入等以外的各项收入。 </w:t>
      </w:r>
    </w:p>
    <w:p>
      <w:pPr>
        <w:widowControl/>
        <w:ind w:firstLine="600" w:firstLineChars="200"/>
        <w:jc w:val="left"/>
        <w:rPr>
          <w:rFonts w:ascii="仿宋" w:hAnsi="仿宋" w:eastAsia="仿宋" w:cs="仿宋"/>
        </w:rPr>
      </w:pPr>
      <w:r>
        <w:rPr>
          <w:rFonts w:hint="eastAsia" w:ascii="仿宋" w:hAnsi="仿宋" w:eastAsia="仿宋" w:cs="仿宋"/>
          <w:color w:val="000000"/>
          <w:kern w:val="0"/>
          <w:sz w:val="30"/>
          <w:szCs w:val="30"/>
        </w:rPr>
        <w:t xml:space="preserve">（五）上年结转和结余：填列全部结转和结余的资金数，包括当 年结转结余资金和历年滚存结转结余资金。 </w:t>
      </w:r>
    </w:p>
    <w:p>
      <w:pPr>
        <w:widowControl/>
        <w:jc w:val="left"/>
        <w:rPr>
          <w:rFonts w:ascii="仿宋" w:hAnsi="仿宋" w:eastAsia="仿宋" w:cs="仿宋"/>
        </w:rPr>
      </w:pPr>
      <w:r>
        <w:rPr>
          <w:rFonts w:hint="eastAsia" w:ascii="仿宋" w:hAnsi="仿宋" w:eastAsia="仿宋" w:cs="仿宋"/>
          <w:color w:val="000000"/>
          <w:kern w:val="0"/>
          <w:sz w:val="30"/>
          <w:szCs w:val="30"/>
        </w:rPr>
        <w:t xml:space="preserve">二、支出科目 </w:t>
      </w:r>
    </w:p>
    <w:p>
      <w:pPr>
        <w:widowControl/>
        <w:ind w:firstLine="600" w:firstLineChars="200"/>
        <w:jc w:val="left"/>
        <w:rPr>
          <w:rFonts w:ascii="仿宋" w:hAnsi="仿宋" w:eastAsia="仿宋" w:cs="仿宋"/>
        </w:rPr>
      </w:pPr>
      <w:r>
        <w:rPr>
          <w:rFonts w:hint="eastAsia" w:ascii="仿宋" w:hAnsi="仿宋" w:eastAsia="仿宋" w:cs="仿宋"/>
          <w:color w:val="000000"/>
          <w:kern w:val="0"/>
          <w:sz w:val="30"/>
          <w:szCs w:val="30"/>
        </w:rPr>
        <w:t xml:space="preserve">（一）一般公共服务（类）群众团体事务（款）行政运行（项）： </w:t>
      </w:r>
    </w:p>
    <w:p>
      <w:pPr>
        <w:widowControl/>
        <w:jc w:val="left"/>
        <w:rPr>
          <w:rFonts w:ascii="仿宋" w:hAnsi="仿宋" w:eastAsia="仿宋" w:cs="仿宋"/>
        </w:rPr>
      </w:pPr>
      <w:r>
        <w:rPr>
          <w:rFonts w:hint="eastAsia" w:ascii="仿宋" w:hAnsi="仿宋" w:eastAsia="仿宋" w:cs="仿宋"/>
          <w:color w:val="000000"/>
          <w:kern w:val="0"/>
          <w:sz w:val="30"/>
          <w:szCs w:val="30"/>
        </w:rPr>
        <w:t xml:space="preserve">指及团市委及所属事业单位，用于保障机构正常运行、开展日常工 作的基本支出。 </w:t>
      </w:r>
    </w:p>
    <w:p>
      <w:pPr>
        <w:widowControl/>
        <w:ind w:firstLine="600" w:firstLineChars="200"/>
        <w:jc w:val="left"/>
        <w:rPr>
          <w:rFonts w:ascii="仿宋" w:hAnsi="仿宋" w:eastAsia="仿宋" w:cs="仿宋"/>
        </w:rPr>
      </w:pPr>
      <w:r>
        <w:rPr>
          <w:rFonts w:hint="eastAsia" w:ascii="仿宋" w:hAnsi="仿宋" w:eastAsia="仿宋" w:cs="仿宋"/>
          <w:color w:val="000000"/>
          <w:kern w:val="0"/>
          <w:sz w:val="30"/>
          <w:szCs w:val="30"/>
        </w:rPr>
        <w:t xml:space="preserve">（二）一般公共服务（类）群众团体事务（款）一般行政管理事务 （项）：指团市委及所属事业单位，未单独设置项级科目的其它 支出项目。 </w:t>
      </w:r>
    </w:p>
    <w:p>
      <w:pPr>
        <w:widowControl/>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（三）一般公共服务（类）群众团体事务（款）其他群众团体事务 支出（项）：指团市委及所属事业单位，其它用于群众团体事务 方面的支出。</w:t>
      </w:r>
    </w:p>
    <w:p>
      <w:pPr>
        <w:widowControl/>
        <w:ind w:firstLine="600" w:firstLineChars="200"/>
        <w:jc w:val="left"/>
        <w:rPr>
          <w:rFonts w:ascii="仿宋" w:hAnsi="仿宋" w:eastAsia="仿宋" w:cs="仿宋"/>
        </w:rPr>
      </w:pPr>
      <w:r>
        <w:rPr>
          <w:rFonts w:hint="eastAsia" w:ascii="仿宋" w:hAnsi="仿宋" w:eastAsia="仿宋" w:cs="仿宋"/>
          <w:color w:val="000000"/>
          <w:kern w:val="0"/>
          <w:sz w:val="30"/>
          <w:szCs w:val="30"/>
        </w:rPr>
        <w:t xml:space="preserve">（四）医疗卫生与计划生育支出（类）医疗保障（款）行政单位医 疗（项）：指机关本级基本医疗保险缴费经费，未参加医 疗保险的行政单位的公费医疗经费，按国家规定享受离休人员、 红军老战士待遇人员的医疗经费。 </w:t>
      </w:r>
    </w:p>
    <w:p>
      <w:pPr>
        <w:widowControl/>
        <w:ind w:firstLine="600" w:firstLineChars="200"/>
        <w:jc w:val="left"/>
        <w:rPr>
          <w:rFonts w:ascii="仿宋" w:hAnsi="仿宋" w:eastAsia="仿宋" w:cs="仿宋"/>
        </w:rPr>
      </w:pPr>
      <w:r>
        <w:rPr>
          <w:rFonts w:hint="eastAsia" w:ascii="仿宋" w:hAnsi="仿宋" w:eastAsia="仿宋" w:cs="仿宋"/>
          <w:color w:val="000000"/>
          <w:kern w:val="0"/>
          <w:sz w:val="30"/>
          <w:szCs w:val="30"/>
        </w:rPr>
        <w:t xml:space="preserve">（五）医疗卫生与计划生育支出（类）医疗保障（款）事业单位医 疗（项）：指单位基本医疗保险缴费经费，未参加医 疗保险的事业单位的公费医疗经费，按国家规定享受离休人员待 遇人员的医疗经费。 </w:t>
      </w:r>
    </w:p>
    <w:p>
      <w:pPr>
        <w:widowControl/>
        <w:ind w:firstLine="600" w:firstLineChars="200"/>
        <w:jc w:val="left"/>
        <w:rPr>
          <w:rFonts w:ascii="仿宋" w:hAnsi="仿宋" w:eastAsia="仿宋" w:cs="仿宋"/>
        </w:rPr>
      </w:pPr>
      <w:r>
        <w:rPr>
          <w:rFonts w:hint="eastAsia" w:ascii="仿宋" w:hAnsi="仿宋" w:eastAsia="仿宋" w:cs="仿宋"/>
          <w:color w:val="000000"/>
          <w:kern w:val="0"/>
          <w:sz w:val="30"/>
          <w:szCs w:val="30"/>
        </w:rPr>
        <w:t xml:space="preserve">（六）住房保障支出（类）住房改革支出（款）购房补贴（项）： </w:t>
      </w:r>
    </w:p>
    <w:p>
      <w:pPr>
        <w:widowControl/>
        <w:jc w:val="left"/>
        <w:rPr>
          <w:rFonts w:ascii="仿宋" w:hAnsi="仿宋" w:eastAsia="仿宋" w:cs="仿宋"/>
        </w:rPr>
      </w:pPr>
      <w:r>
        <w:rPr>
          <w:rFonts w:hint="eastAsia" w:ascii="仿宋" w:hAnsi="仿宋" w:eastAsia="仿宋" w:cs="仿宋"/>
          <w:color w:val="000000"/>
          <w:kern w:val="0"/>
          <w:sz w:val="30"/>
          <w:szCs w:val="30"/>
        </w:rPr>
        <w:t xml:space="preserve">指单位人员按房改房政策规定，行政事业单位 向符合条件的职工（含离退休人员）、军队（含武警）向转役复 员离退休人员发放的用于购买住房的补贴。 </w:t>
      </w:r>
    </w:p>
    <w:p>
      <w:pPr>
        <w:widowControl/>
        <w:ind w:firstLine="600" w:firstLineChars="200"/>
        <w:jc w:val="left"/>
        <w:rPr>
          <w:rFonts w:ascii="仿宋" w:hAnsi="仿宋" w:eastAsia="仿宋" w:cs="仿宋"/>
        </w:rPr>
      </w:pPr>
      <w:r>
        <w:rPr>
          <w:rFonts w:hint="eastAsia" w:ascii="仿宋" w:hAnsi="仿宋" w:eastAsia="仿宋" w:cs="仿宋"/>
          <w:color w:val="000000"/>
          <w:kern w:val="0"/>
          <w:sz w:val="30"/>
          <w:szCs w:val="30"/>
        </w:rPr>
        <w:t xml:space="preserve">（七）其它支出（类）其他支出（款）其他支出（项）：指单位其他不能划分到具体功能科目中的支出项目。 </w:t>
      </w:r>
    </w:p>
    <w:p>
      <w:pPr>
        <w:ind w:firstLine="600" w:firstLineChars="200"/>
        <w:rPr>
          <w:rFonts w:ascii="仿宋" w:hAnsi="仿宋" w:eastAsia="仿宋" w:cs="仿宋_GB2312"/>
          <w:sz w:val="30"/>
          <w:szCs w:val="30"/>
        </w:rPr>
      </w:pPr>
      <w:r>
        <w:rPr>
          <w:rFonts w:hint="eastAsia" w:ascii="仿宋" w:hAnsi="仿宋" w:eastAsia="仿宋" w:cs="仿宋_GB2312"/>
          <w:sz w:val="30"/>
          <w:szCs w:val="30"/>
        </w:rPr>
        <w:t>（八）“三公”经费：纳入财政预决算管理的“三公”经费，是指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firstLineChars="200"/>
        <w:rPr>
          <w:rFonts w:ascii="仿宋_GB2312" w:eastAsia="仿宋_GB2312"/>
          <w:sz w:val="32"/>
          <w:szCs w:val="32"/>
        </w:rPr>
      </w:pPr>
      <w:r>
        <w:rPr>
          <w:rFonts w:hint="eastAsia" w:ascii="仿宋" w:hAnsi="仿宋" w:eastAsia="仿宋" w:cs="Arial"/>
          <w:color w:val="333333"/>
          <w:sz w:val="32"/>
          <w:szCs w:val="32"/>
        </w:rPr>
        <w:t>（九）</w:t>
      </w:r>
      <w:r>
        <w:rPr>
          <w:rFonts w:hint="eastAsia" w:ascii="仿宋" w:hAnsi="仿宋" w:eastAsia="仿宋"/>
          <w:sz w:val="32"/>
          <w:szCs w:val="32"/>
        </w:rPr>
        <w:t>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r>
        <w:rPr>
          <w:rFonts w:hint="eastAsia" w:ascii="仿宋_GB2312" w:eastAsia="仿宋_GB2312"/>
          <w:sz w:val="32"/>
          <w:szCs w:val="32"/>
        </w:rPr>
        <w:t>。</w:t>
      </w:r>
    </w:p>
    <w:p>
      <w:pPr>
        <w:widowControl/>
        <w:jc w:val="left"/>
        <w:rPr>
          <w:rFonts w:ascii="仿宋" w:hAnsi="仿宋" w:eastAsia="仿宋" w:cs="仿宋"/>
        </w:rPr>
      </w:pPr>
      <w:r>
        <w:rPr>
          <w:rFonts w:hint="eastAsia" w:ascii="仿宋" w:hAnsi="仿宋" w:eastAsia="仿宋" w:cs="仿宋"/>
          <w:color w:val="000000"/>
          <w:kern w:val="0"/>
          <w:sz w:val="30"/>
          <w:szCs w:val="30"/>
        </w:rPr>
        <w:t>。</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9"/>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3214DE"/>
    <w:multiLevelType w:val="singleLevel"/>
    <w:tmpl w:val="9B3214DE"/>
    <w:lvl w:ilvl="0" w:tentative="0">
      <w:start w:val="4"/>
      <w:numFmt w:val="chineseCounting"/>
      <w:suff w:val="nothing"/>
      <w:lvlText w:val="%1、"/>
      <w:lvlJc w:val="left"/>
      <w:rPr>
        <w:rFonts w:hint="eastAsia"/>
      </w:rPr>
    </w:lvl>
  </w:abstractNum>
  <w:abstractNum w:abstractNumId="1">
    <w:nsid w:val="9B555C97"/>
    <w:multiLevelType w:val="singleLevel"/>
    <w:tmpl w:val="9B555C97"/>
    <w:lvl w:ilvl="0" w:tentative="0">
      <w:start w:val="1"/>
      <w:numFmt w:val="decimal"/>
      <w:lvlText w:val="%1."/>
      <w:lvlJc w:val="left"/>
      <w:pPr>
        <w:ind w:left="425" w:hanging="425"/>
      </w:pPr>
      <w:rPr>
        <w:rFonts w:hint="default"/>
      </w:rPr>
    </w:lvl>
  </w:abstractNum>
  <w:abstractNum w:abstractNumId="2">
    <w:nsid w:val="C0476A22"/>
    <w:multiLevelType w:val="singleLevel"/>
    <w:tmpl w:val="C0476A22"/>
    <w:lvl w:ilvl="0" w:tentative="0">
      <w:start w:val="2"/>
      <w:numFmt w:val="chineseCounting"/>
      <w:suff w:val="nothing"/>
      <w:lvlText w:val="（%1）"/>
      <w:lvlJc w:val="left"/>
      <w:rPr>
        <w:rFonts w:hint="eastAsia"/>
      </w:rPr>
    </w:lvl>
  </w:abstractNum>
  <w:abstractNum w:abstractNumId="3">
    <w:nsid w:val="CEF1AB64"/>
    <w:multiLevelType w:val="singleLevel"/>
    <w:tmpl w:val="CEF1AB64"/>
    <w:lvl w:ilvl="0" w:tentative="0">
      <w:start w:val="8"/>
      <w:numFmt w:val="chineseCounting"/>
      <w:suff w:val="nothing"/>
      <w:lvlText w:val="%1、"/>
      <w:lvlJc w:val="left"/>
      <w:pPr>
        <w:ind w:left="1280" w:firstLine="0"/>
      </w:pPr>
      <w:rPr>
        <w:rFonts w:hint="eastAsia"/>
      </w:rPr>
    </w:lvl>
  </w:abstractNum>
  <w:abstractNum w:abstractNumId="4">
    <w:nsid w:val="E7AFF38D"/>
    <w:multiLevelType w:val="singleLevel"/>
    <w:tmpl w:val="E7AFF38D"/>
    <w:lvl w:ilvl="0" w:tentative="0">
      <w:start w:val="1"/>
      <w:numFmt w:val="chineseCounting"/>
      <w:suff w:val="nothing"/>
      <w:lvlText w:val="（%1）"/>
      <w:lvlJc w:val="left"/>
      <w:rPr>
        <w:rFonts w:hint="eastAsia"/>
      </w:rPr>
    </w:lvl>
  </w:abstractNum>
  <w:abstractNum w:abstractNumId="5">
    <w:nsid w:val="EE361CCC"/>
    <w:multiLevelType w:val="singleLevel"/>
    <w:tmpl w:val="EE361CCC"/>
    <w:lvl w:ilvl="0" w:tentative="0">
      <w:start w:val="8"/>
      <w:numFmt w:val="chineseCounting"/>
      <w:suff w:val="nothing"/>
      <w:lvlText w:val="%1、"/>
      <w:lvlJc w:val="left"/>
      <w:rPr>
        <w:rFonts w:hint="eastAsia"/>
      </w:rPr>
    </w:lvl>
  </w:abstractNum>
  <w:abstractNum w:abstractNumId="6">
    <w:nsid w:val="24629D3D"/>
    <w:multiLevelType w:val="singleLevel"/>
    <w:tmpl w:val="24629D3D"/>
    <w:lvl w:ilvl="0" w:tentative="0">
      <w:start w:val="2"/>
      <w:numFmt w:val="chineseCounting"/>
      <w:suff w:val="nothing"/>
      <w:lvlText w:val="%1、"/>
      <w:lvlJc w:val="left"/>
      <w:pPr>
        <w:ind w:left="960" w:firstLine="0"/>
      </w:pPr>
      <w:rPr>
        <w:rFonts w:hint="eastAsia"/>
      </w:rPr>
    </w:lvl>
  </w:abstractNum>
  <w:abstractNum w:abstractNumId="7">
    <w:nsid w:val="5836BBA7"/>
    <w:multiLevelType w:val="singleLevel"/>
    <w:tmpl w:val="5836BBA7"/>
    <w:lvl w:ilvl="0" w:tentative="0">
      <w:start w:val="2"/>
      <w:numFmt w:val="chineseCounting"/>
      <w:suff w:val="nothing"/>
      <w:lvlText w:val="（%1）"/>
      <w:lvlJc w:val="left"/>
    </w:lvl>
  </w:abstractNum>
  <w:num w:numId="1">
    <w:abstractNumId w:val="3"/>
  </w:num>
  <w:num w:numId="2">
    <w:abstractNumId w:val="4"/>
  </w:num>
  <w:num w:numId="3">
    <w:abstractNumId w:val="6"/>
  </w:num>
  <w:num w:numId="4">
    <w:abstractNumId w:val="0"/>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RlZTc2MTBkMGZkYTg5ODY3ODViYmRiMWZkMWYwNGUifQ=="/>
  </w:docVars>
  <w:rsids>
    <w:rsidRoot w:val="00172A27"/>
    <w:rsid w:val="0009792E"/>
    <w:rsid w:val="000D1ACE"/>
    <w:rsid w:val="00172A27"/>
    <w:rsid w:val="0028469A"/>
    <w:rsid w:val="003163AC"/>
    <w:rsid w:val="00515623"/>
    <w:rsid w:val="006F103F"/>
    <w:rsid w:val="007F3CC6"/>
    <w:rsid w:val="00862759"/>
    <w:rsid w:val="008B3BEB"/>
    <w:rsid w:val="00943F5D"/>
    <w:rsid w:val="009D0E98"/>
    <w:rsid w:val="00A16C6A"/>
    <w:rsid w:val="00A86CE5"/>
    <w:rsid w:val="00A93424"/>
    <w:rsid w:val="00B16CC3"/>
    <w:rsid w:val="00BA7C44"/>
    <w:rsid w:val="00D80B6D"/>
    <w:rsid w:val="00EA4674"/>
    <w:rsid w:val="00F53B60"/>
    <w:rsid w:val="02D55EC7"/>
    <w:rsid w:val="0B123986"/>
    <w:rsid w:val="0D8A40E3"/>
    <w:rsid w:val="0F786F62"/>
    <w:rsid w:val="192C6D66"/>
    <w:rsid w:val="1C417684"/>
    <w:rsid w:val="1D9553F2"/>
    <w:rsid w:val="213D535C"/>
    <w:rsid w:val="217360FA"/>
    <w:rsid w:val="250A2005"/>
    <w:rsid w:val="286050B1"/>
    <w:rsid w:val="29BA0A51"/>
    <w:rsid w:val="2D677EDE"/>
    <w:rsid w:val="34BF5F4C"/>
    <w:rsid w:val="34CA217D"/>
    <w:rsid w:val="352A495A"/>
    <w:rsid w:val="3E422DFF"/>
    <w:rsid w:val="3F62249C"/>
    <w:rsid w:val="40672C99"/>
    <w:rsid w:val="465B2B05"/>
    <w:rsid w:val="4A9731CD"/>
    <w:rsid w:val="4BE02B89"/>
    <w:rsid w:val="4C3562D4"/>
    <w:rsid w:val="53E15E82"/>
    <w:rsid w:val="550A6DFF"/>
    <w:rsid w:val="555C5961"/>
    <w:rsid w:val="638D3C1D"/>
    <w:rsid w:val="668E41FF"/>
    <w:rsid w:val="689B19F3"/>
    <w:rsid w:val="6921632F"/>
    <w:rsid w:val="7B011E88"/>
    <w:rsid w:val="7BF23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kern w:val="0"/>
      <w:sz w:val="18"/>
      <w:szCs w:val="18"/>
    </w:rPr>
  </w:style>
  <w:style w:type="paragraph" w:styleId="3">
    <w:name w:val="Body Text"/>
    <w:basedOn w:val="1"/>
    <w:qFormat/>
    <w:uiPriority w:val="1"/>
    <w:rPr>
      <w:rFonts w:ascii="仿宋" w:hAnsi="仿宋" w:eastAsia="仿宋" w:cs="仿宋"/>
      <w:sz w:val="32"/>
      <w:szCs w:val="32"/>
      <w:lang w:val="zh-CN" w:bidi="zh-CN"/>
    </w:rPr>
  </w:style>
  <w:style w:type="paragraph" w:styleId="4">
    <w:name w:val="Balloon Text"/>
    <w:basedOn w:val="1"/>
    <w:link w:val="11"/>
    <w:uiPriority w:val="0"/>
    <w:rPr>
      <w:sz w:val="18"/>
      <w:szCs w:val="18"/>
    </w:rPr>
  </w:style>
  <w:style w:type="paragraph" w:styleId="5">
    <w:name w:val="footer"/>
    <w:basedOn w:val="1"/>
    <w:link w:val="15"/>
    <w:uiPriority w:val="0"/>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customStyle="1" w:styleId="9">
    <w:name w:val="p0"/>
    <w:basedOn w:val="1"/>
    <w:qFormat/>
    <w:uiPriority w:val="0"/>
    <w:pPr>
      <w:widowControl/>
    </w:pPr>
    <w:rPr>
      <w:kern w:val="0"/>
      <w:szCs w:val="21"/>
    </w:rPr>
  </w:style>
  <w:style w:type="paragraph" w:customStyle="1" w:styleId="10">
    <w:name w:val="Table Paragraph"/>
    <w:basedOn w:val="1"/>
    <w:qFormat/>
    <w:uiPriority w:val="1"/>
    <w:rPr>
      <w:rFonts w:ascii="楷体" w:hAnsi="楷体" w:eastAsia="楷体" w:cs="楷体"/>
      <w:lang w:val="zh-CN" w:bidi="zh-CN"/>
    </w:rPr>
  </w:style>
  <w:style w:type="character" w:customStyle="1" w:styleId="11">
    <w:name w:val="批注框文本 Char"/>
    <w:basedOn w:val="8"/>
    <w:link w:val="4"/>
    <w:uiPriority w:val="0"/>
    <w:rPr>
      <w:kern w:val="2"/>
      <w:sz w:val="18"/>
      <w:szCs w:val="18"/>
    </w:rPr>
  </w:style>
  <w:style w:type="table" w:customStyle="1" w:styleId="12">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13">
    <w:name w:val="NormalCharacter"/>
    <w:semiHidden/>
    <w:qFormat/>
    <w:uiPriority w:val="0"/>
  </w:style>
  <w:style w:type="character" w:customStyle="1" w:styleId="14">
    <w:name w:val="页眉 Char"/>
    <w:basedOn w:val="8"/>
    <w:link w:val="6"/>
    <w:uiPriority w:val="0"/>
    <w:rPr>
      <w:kern w:val="2"/>
      <w:sz w:val="18"/>
      <w:szCs w:val="18"/>
    </w:rPr>
  </w:style>
  <w:style w:type="character" w:customStyle="1" w:styleId="15">
    <w:name w:val="页脚 Char"/>
    <w:basedOn w:val="8"/>
    <w:link w:val="5"/>
    <w:uiPriority w:val="0"/>
    <w:rPr>
      <w:kern w:val="2"/>
      <w:sz w:val="18"/>
      <w:szCs w:val="18"/>
    </w:rPr>
  </w:style>
  <w:style w:type="paragraph" w:styleId="16">
    <w:name w:val="List Paragraph"/>
    <w:basedOn w:val="1"/>
    <w:unhideWhenUsed/>
    <w:uiPriority w:val="99"/>
    <w:pPr>
      <w:ind w:firstLine="420" w:firstLineChars="200"/>
    </w:pPr>
  </w:style>
  <w:style w:type="paragraph" w:customStyle="1" w:styleId="17">
    <w:name w:val="闻政正文"/>
    <w:basedOn w:val="1"/>
    <w:qFormat/>
    <w:uiPriority w:val="0"/>
    <w:pPr>
      <w:spacing w:line="500" w:lineRule="exact"/>
      <w:ind w:firstLine="560" w:firstLineChars="200"/>
    </w:pPr>
    <w:rPr>
      <w:rFonts w:eastAsia="仿宋_GB2312"/>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871F6-5D36-4B1F-A05E-0E29D7FEE92A}">
  <ds:schemaRefs/>
</ds:datastoreItem>
</file>

<file path=docProps/app.xml><?xml version="1.0" encoding="utf-8"?>
<Properties xmlns="http://schemas.openxmlformats.org/officeDocument/2006/extended-properties" xmlns:vt="http://schemas.openxmlformats.org/officeDocument/2006/docPropsVTypes">
  <Template>Normal</Template>
  <Pages>32</Pages>
  <Words>10116</Words>
  <Characters>10828</Characters>
  <Lines>17</Lines>
  <Paragraphs>24</Paragraphs>
  <TotalTime>0</TotalTime>
  <ScaleCrop>false</ScaleCrop>
  <LinksUpToDate>false</LinksUpToDate>
  <CharactersWithSpaces>11243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超</cp:lastModifiedBy>
  <cp:lastPrinted>2021-09-23T07:13:00Z</cp:lastPrinted>
  <dcterms:modified xsi:type="dcterms:W3CDTF">2023-07-05T00:51:27Z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57DEADE3854F4362A66C45489E6C8B43</vt:lpwstr>
  </property>
</Properties>
</file>